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9B0" w:rsidRPr="00843A73" w:rsidRDefault="00D439B0" w:rsidP="00D439B0">
      <w:pPr>
        <w:spacing w:before="120"/>
        <w:jc w:val="center"/>
        <w:rPr>
          <w:rFonts w:ascii="Arial" w:hAnsi="Arial" w:cs="Arial"/>
          <w:b/>
          <w:sz w:val="22"/>
          <w:szCs w:val="22"/>
          <w:lang w:val="es-MX" w:eastAsia="es-ES"/>
        </w:rPr>
      </w:pPr>
      <w:r w:rsidRPr="00843A73">
        <w:rPr>
          <w:rFonts w:ascii="Arial" w:hAnsi="Arial" w:cs="Arial"/>
          <w:b/>
          <w:sz w:val="22"/>
          <w:szCs w:val="22"/>
          <w:lang w:val="es-MX" w:eastAsia="es-ES"/>
        </w:rPr>
        <w:t xml:space="preserve">Procedimiento para la elaboración de fichas técnicas para la Comisión Coordinadora para la Negociación de Precios de Medicamentos y otros Insumos para la Salud </w:t>
      </w:r>
    </w:p>
    <w:p w:rsidR="00D439B0" w:rsidRDefault="00D439B0" w:rsidP="00D439B0">
      <w:pPr>
        <w:spacing w:before="120"/>
        <w:jc w:val="center"/>
        <w:rPr>
          <w:rFonts w:ascii="Century Gothic" w:hAnsi="Century Gothic"/>
          <w:b/>
          <w:color w:val="999999"/>
          <w:sz w:val="28"/>
          <w:szCs w:val="28"/>
          <w:lang w:val="es-ES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Anexo 10.2</w:t>
      </w:r>
    </w:p>
    <w:p w:rsidR="00D439B0" w:rsidRDefault="00D439B0" w:rsidP="00D439B0">
      <w:pPr>
        <w:tabs>
          <w:tab w:val="center" w:pos="6096"/>
          <w:tab w:val="left" w:pos="9606"/>
        </w:tabs>
        <w:jc w:val="center"/>
        <w:rPr>
          <w:rFonts w:ascii="Arial Narrow" w:hAnsi="Arial Narrow"/>
          <w:sz w:val="21"/>
          <w:szCs w:val="21"/>
          <w:lang w:val="pt-BR"/>
        </w:rPr>
      </w:pPr>
      <w:r>
        <w:rPr>
          <w:rFonts w:ascii="Century Gothic" w:hAnsi="Century Gothic"/>
          <w:b/>
          <w:color w:val="999999"/>
          <w:sz w:val="28"/>
          <w:szCs w:val="28"/>
          <w:lang w:val="es-ES"/>
        </w:rPr>
        <w:t>Formato de ficha técnica</w:t>
      </w:r>
    </w:p>
    <w:p w:rsidR="00E80EED" w:rsidRPr="007A7FD3" w:rsidRDefault="00E80EED" w:rsidP="00E80EED">
      <w:pPr>
        <w:tabs>
          <w:tab w:val="center" w:pos="6096"/>
          <w:tab w:val="left" w:pos="9606"/>
        </w:tabs>
        <w:rPr>
          <w:rFonts w:ascii="Arial Rounded MT Bold" w:hAnsi="Arial Rounded MT Bold" w:cs="Arial"/>
          <w:b/>
          <w:sz w:val="32"/>
          <w:szCs w:val="32"/>
          <w:lang w:val="es-MX"/>
        </w:rPr>
      </w:pPr>
      <w:r w:rsidRPr="00B5505A">
        <w:rPr>
          <w:rFonts w:ascii="Arial Narrow" w:hAnsi="Arial Narrow"/>
          <w:sz w:val="21"/>
          <w:szCs w:val="21"/>
          <w:lang w:val="pt-BR"/>
        </w:rPr>
        <w:t xml:space="preserve">     </w:t>
      </w:r>
      <w:r w:rsidRPr="00436FEB">
        <w:rPr>
          <w:rFonts w:ascii="Arial Narrow" w:hAnsi="Arial Narrow"/>
          <w:szCs w:val="21"/>
          <w:lang w:val="es-MX"/>
        </w:rPr>
        <w:t xml:space="preserve">Fecha: </w:t>
      </w:r>
      <w:r w:rsidR="002870BE" w:rsidRPr="00436FEB">
        <w:rPr>
          <w:rFonts w:ascii="Arial Narrow" w:hAnsi="Arial Narrow"/>
          <w:sz w:val="22"/>
          <w:lang w:val="es-ES"/>
        </w:rPr>
        <w:fldChar w:fldCharType="begin"/>
      </w:r>
      <w:r w:rsidRPr="00436FEB">
        <w:rPr>
          <w:rFonts w:ascii="Arial Narrow" w:hAnsi="Arial Narrow"/>
          <w:sz w:val="22"/>
          <w:lang w:val="es-ES"/>
        </w:rPr>
        <w:instrText xml:space="preserve"> DATE  \@ "dd/MM/yy"  \* MERGEFORMAT </w:instrText>
      </w:r>
      <w:r w:rsidR="002870BE" w:rsidRPr="00436FEB">
        <w:rPr>
          <w:rFonts w:ascii="Arial Narrow" w:hAnsi="Arial Narrow"/>
          <w:sz w:val="22"/>
          <w:lang w:val="es-ES"/>
        </w:rPr>
        <w:fldChar w:fldCharType="separate"/>
      </w:r>
      <w:r w:rsidR="00EE1EE4">
        <w:rPr>
          <w:rFonts w:ascii="Arial Narrow" w:hAnsi="Arial Narrow"/>
          <w:noProof/>
          <w:sz w:val="22"/>
          <w:lang w:val="es-ES"/>
        </w:rPr>
        <w:t>23/09/12</w:t>
      </w:r>
      <w:r w:rsidR="002870BE" w:rsidRPr="00436FEB">
        <w:rPr>
          <w:rFonts w:ascii="Arial Narrow" w:hAnsi="Arial Narrow"/>
          <w:sz w:val="22"/>
          <w:lang w:val="es-ES"/>
        </w:rPr>
        <w:fldChar w:fldCharType="end"/>
      </w:r>
      <w:r>
        <w:rPr>
          <w:rFonts w:ascii="Arial Narrow" w:hAnsi="Arial Narrow"/>
          <w:sz w:val="22"/>
          <w:lang w:val="es-ES"/>
        </w:rPr>
        <w:t xml:space="preserve">   </w:t>
      </w:r>
      <w:r>
        <w:rPr>
          <w:rFonts w:ascii="Arial Narrow" w:hAnsi="Arial Narrow"/>
          <w:sz w:val="22"/>
          <w:lang w:val="es-ES"/>
        </w:rPr>
        <w:tab/>
      </w:r>
      <w:r w:rsidRPr="00D35B09">
        <w:rPr>
          <w:rFonts w:ascii="Arial Narrow" w:hAnsi="Arial Narrow"/>
          <w:lang w:val="es-ES"/>
        </w:rPr>
        <w:t xml:space="preserve">                                                 </w:t>
      </w:r>
      <w:r w:rsidRPr="007A7FD3">
        <w:rPr>
          <w:rFonts w:ascii="Arial Rounded MT Bold" w:hAnsi="Arial Rounded MT Bold" w:cs="Arial"/>
          <w:b/>
          <w:lang w:val="pt-BR"/>
        </w:rPr>
        <w:t>FICHA TÉCNICA</w:t>
      </w:r>
    </w:p>
    <w:p w:rsidR="00E80EED" w:rsidRPr="004750F6" w:rsidRDefault="00E80EED" w:rsidP="00E80EED">
      <w:pPr>
        <w:jc w:val="center"/>
        <w:rPr>
          <w:rFonts w:ascii="Berlin Sans FB Demi" w:hAnsi="Berlin Sans FB Demi" w:cs="Arial"/>
          <w:b/>
          <w:noProof/>
          <w:color w:val="666699"/>
          <w:sz w:val="28"/>
          <w:lang w:val="es-MX"/>
        </w:rPr>
      </w:pPr>
      <w:r>
        <w:rPr>
          <w:rFonts w:ascii="Berlin Sans FB Demi" w:hAnsi="Berlin Sans FB Demi" w:cs="Arial"/>
          <w:b/>
          <w:noProof/>
          <w:color w:val="365F91" w:themeColor="accent1" w:themeShade="BF"/>
          <w:sz w:val="28"/>
          <w:lang w:val="pt-BR"/>
        </w:rPr>
        <w:t>Grupo</w:t>
      </w:r>
      <w:r w:rsidRPr="004750F6">
        <w:rPr>
          <w:rFonts w:ascii="Berlin Sans FB Demi" w:hAnsi="Berlin Sans FB Demi" w:cs="Arial"/>
          <w:b/>
          <w:noProof/>
          <w:color w:val="3366FF"/>
          <w:sz w:val="28"/>
          <w:lang w:val="pt-BR"/>
        </w:rPr>
        <w:t xml:space="preserve"> </w:t>
      </w:r>
      <w:r>
        <w:rPr>
          <w:rFonts w:ascii="Berlin Sans FB Demi" w:hAnsi="Berlin Sans FB Demi" w:cs="Arial"/>
          <w:b/>
          <w:noProof/>
          <w:color w:val="3366FF"/>
          <w:sz w:val="28"/>
          <w:lang w:val="pt-BR"/>
        </w:rPr>
        <w:t>–</w:t>
      </w:r>
      <w:r w:rsidRPr="004750F6">
        <w:rPr>
          <w:rFonts w:ascii="Berlin Sans FB Demi" w:hAnsi="Berlin Sans FB Demi" w:cs="Arial"/>
          <w:b/>
          <w:noProof/>
          <w:color w:val="3366FF"/>
          <w:sz w:val="28"/>
          <w:lang w:val="pt-BR"/>
        </w:rPr>
        <w:t xml:space="preserve"> </w:t>
      </w:r>
      <w:r>
        <w:rPr>
          <w:rFonts w:ascii="Berlin Sans FB Demi" w:hAnsi="Berlin Sans FB Demi" w:cs="Arial"/>
          <w:b/>
          <w:noProof/>
          <w:color w:val="3366FF"/>
          <w:sz w:val="28"/>
          <w:lang w:val="pt-BR"/>
        </w:rPr>
        <w:t>Denominación distintiva</w:t>
      </w:r>
      <w:r w:rsidRPr="004750F6">
        <w:rPr>
          <w:rFonts w:ascii="Berlin Sans FB Demi" w:hAnsi="Berlin Sans FB Demi" w:cs="Arial"/>
          <w:b/>
          <w:noProof/>
          <w:color w:val="3366FF"/>
          <w:sz w:val="28"/>
          <w:lang w:val="pt-BR"/>
        </w:rPr>
        <w:t xml:space="preserve"> – </w:t>
      </w:r>
      <w:r>
        <w:rPr>
          <w:rFonts w:ascii="Berlin Sans FB Demi" w:hAnsi="Berlin Sans FB Demi" w:cs="Arial"/>
          <w:b/>
          <w:noProof/>
          <w:color w:val="666699"/>
          <w:sz w:val="28"/>
          <w:lang w:val="es-MX"/>
        </w:rPr>
        <w:t>Descripción</w:t>
      </w:r>
    </w:p>
    <w:p w:rsidR="00E80EED" w:rsidRPr="00517210" w:rsidRDefault="00E80EED" w:rsidP="00E80EED">
      <w:pPr>
        <w:jc w:val="center"/>
        <w:rPr>
          <w:rFonts w:ascii="Arial Narrow" w:hAnsi="Arial Narrow"/>
          <w:b/>
          <w:noProof/>
          <w:lang w:val="es-ES"/>
        </w:rPr>
      </w:pPr>
      <w:r>
        <w:rPr>
          <w:rFonts w:ascii="Arial Narrow" w:hAnsi="Arial Narrow"/>
          <w:b/>
          <w:noProof/>
          <w:lang w:val="es-ES"/>
        </w:rPr>
        <w:t>Clave</w:t>
      </w:r>
      <w:r w:rsidRPr="00517210">
        <w:rPr>
          <w:rFonts w:ascii="Arial Narrow" w:hAnsi="Arial Narrow"/>
          <w:b/>
          <w:noProof/>
          <w:lang w:val="es-ES"/>
        </w:rPr>
        <w:t xml:space="preserve"> / </w:t>
      </w:r>
      <w:r>
        <w:rPr>
          <w:rFonts w:ascii="Arial Narrow" w:hAnsi="Arial Narrow"/>
          <w:b/>
          <w:noProof/>
          <w:lang w:val="es-ES"/>
        </w:rPr>
        <w:t>Tipo de fuente única</w:t>
      </w:r>
    </w:p>
    <w:p w:rsidR="00E80EED" w:rsidRDefault="00E80EED" w:rsidP="00E80EED">
      <w:pPr>
        <w:tabs>
          <w:tab w:val="left" w:pos="3810"/>
        </w:tabs>
        <w:rPr>
          <w:rFonts w:ascii="Arial Narrow" w:hAnsi="Arial Narrow"/>
          <w:b/>
          <w:sz w:val="10"/>
          <w:szCs w:val="28"/>
          <w:lang w:val="es-ES_tradnl"/>
        </w:rPr>
      </w:pPr>
    </w:p>
    <w:tbl>
      <w:tblPr>
        <w:tblW w:w="14458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5"/>
        <w:gridCol w:w="2549"/>
        <w:gridCol w:w="160"/>
        <w:gridCol w:w="1119"/>
        <w:gridCol w:w="565"/>
        <w:gridCol w:w="143"/>
        <w:gridCol w:w="709"/>
        <w:gridCol w:w="709"/>
        <w:gridCol w:w="709"/>
        <w:gridCol w:w="425"/>
        <w:gridCol w:w="1559"/>
        <w:gridCol w:w="567"/>
        <w:gridCol w:w="851"/>
        <w:gridCol w:w="425"/>
        <w:gridCol w:w="709"/>
        <w:gridCol w:w="567"/>
        <w:gridCol w:w="708"/>
        <w:gridCol w:w="709"/>
      </w:tblGrid>
      <w:tr w:rsidR="00E80EED" w:rsidRPr="00D439B0" w:rsidTr="001D32AB">
        <w:trPr>
          <w:trHeight w:val="284"/>
        </w:trPr>
        <w:tc>
          <w:tcPr>
            <w:tcW w:w="3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A). Identificación</w:t>
            </w:r>
            <w:r w:rsidRPr="00D439B0">
              <w:rPr>
                <w:rFonts w:ascii="Arial Narrow" w:hAnsi="Arial Narrow" w:cs="Arial"/>
                <w:sz w:val="18"/>
                <w:szCs w:val="22"/>
                <w:lang w:val="es-MX"/>
              </w:rPr>
              <w:t xml:space="preserve"> </w:t>
            </w: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8"/>
                <w:szCs w:val="22"/>
                <w:lang w:val="es-MX"/>
              </w:rPr>
            </w:pPr>
          </w:p>
        </w:tc>
        <w:tc>
          <w:tcPr>
            <w:tcW w:w="3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bCs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B). Laboratorio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C). Evaluación Técnica</w:t>
            </w:r>
          </w:p>
        </w:tc>
      </w:tr>
      <w:tr w:rsidR="00E80EED" w:rsidRPr="00D439B0" w:rsidTr="001D32AB">
        <w:trPr>
          <w:trHeight w:val="4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Patente No.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3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Sustituto Terapéutico (ST)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(Clave, denominación, presentación)</w:t>
            </w:r>
          </w:p>
        </w:tc>
      </w:tr>
      <w:tr w:rsidR="00E80EED" w:rsidRPr="00D439B0" w:rsidTr="001D32AB">
        <w:trPr>
          <w:trHeight w:val="73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Vigencia  y tipo de patente</w:t>
            </w:r>
          </w:p>
        </w:tc>
        <w:tc>
          <w:tcPr>
            <w:tcW w:w="2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Costo total de la clave</w:t>
            </w:r>
          </w:p>
        </w:tc>
        <w:tc>
          <w:tcPr>
            <w:tcW w:w="2270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¿También se negocia ST?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Si/No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Precio ST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S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Índice de sustituibilidad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%</w:t>
            </w:r>
          </w:p>
        </w:tc>
      </w:tr>
      <w:tr w:rsidR="00E80EED" w:rsidRPr="00D439B0" w:rsidTr="001D32AB">
        <w:trPr>
          <w:trHeight w:val="40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Registros en trámite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(Cuántos y de qué laboratorios)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2270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2"/>
                <w:lang w:val="es-MX"/>
              </w:rPr>
              <w:t>D). Comparación de precios</w:t>
            </w:r>
          </w:p>
        </w:tc>
      </w:tr>
      <w:tr w:rsidR="00E80EED" w:rsidRPr="00BE69C3" w:rsidTr="001D32AB">
        <w:trPr>
          <w:trHeight w:val="296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Esquema de competencia</w:t>
            </w:r>
          </w:p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 xml:space="preserve">Indicación terapéutica: </w:t>
            </w:r>
          </w:p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Grupo:</w:t>
            </w:r>
          </w:p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</w:rPr>
            </w:pPr>
          </w:p>
        </w:tc>
        <w:tc>
          <w:tcPr>
            <w:tcW w:w="3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Descuentos obtenidos en años previos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2"/>
                <w:lang w:val="es-MX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  <w:t>Concepto evaluado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  <w:t>Negociado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  <w:t>ST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4"/>
                <w:szCs w:val="20"/>
                <w:lang w:val="es-MX"/>
              </w:rPr>
              <w:t>Diferencia en precio Negociado vs ST</w:t>
            </w:r>
          </w:p>
        </w:tc>
      </w:tr>
      <w:tr w:rsidR="00E80EED" w:rsidRPr="00BE69C3" w:rsidTr="001D32AB">
        <w:trPr>
          <w:trHeight w:val="393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Año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noProof/>
                <w:sz w:val="16"/>
                <w:szCs w:val="20"/>
                <w:lang w:val="es-MX"/>
              </w:rPr>
              <w:t>2009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noProof/>
                <w:sz w:val="16"/>
                <w:szCs w:val="20"/>
                <w:lang w:val="es-MX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noProof/>
                <w:sz w:val="16"/>
                <w:szCs w:val="20"/>
                <w:lang w:val="es-MX"/>
              </w:rPr>
              <w:t>2012</w:t>
            </w: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Tratamiento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9C3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 xml:space="preserve">(Dosis por unidad </w:t>
            </w:r>
          </w:p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de tiempo)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E69C3" w:rsidRDefault="00BE69C3" w:rsidP="00BE69C3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 xml:space="preserve">(Dosis por unidad </w:t>
            </w:r>
          </w:p>
          <w:p w:rsidR="00E80EED" w:rsidRPr="00D439B0" w:rsidRDefault="00BE69C3" w:rsidP="00BE69C3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de tiempo)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%</w:t>
            </w:r>
          </w:p>
        </w:tc>
      </w:tr>
      <w:tr w:rsidR="00E80EED" w:rsidRPr="00D439B0" w:rsidTr="001D32AB">
        <w:trPr>
          <w:trHeight w:val="438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Descuento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84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</w:tr>
      <w:tr w:rsidR="00E80EED" w:rsidRPr="00D439B0" w:rsidTr="001D32AB">
        <w:trPr>
          <w:trHeight w:val="286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Especie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Costo del tratamiento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$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BE69C3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  <w:r>
              <w:rPr>
                <w:rFonts w:ascii="Arial Narrow" w:hAnsi="Arial Narrow" w:cs="Arial"/>
                <w:sz w:val="16"/>
                <w:szCs w:val="20"/>
                <w:lang w:val="es-MX"/>
              </w:rPr>
              <w:t>$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</w:tr>
    </w:tbl>
    <w:p w:rsidR="00E80EED" w:rsidRPr="00D439B0" w:rsidRDefault="00E80EED" w:rsidP="00E80EED">
      <w:pPr>
        <w:rPr>
          <w:sz w:val="8"/>
          <w:szCs w:val="12"/>
        </w:rPr>
      </w:pPr>
    </w:p>
    <w:tbl>
      <w:tblPr>
        <w:tblW w:w="14458" w:type="dxa"/>
        <w:tblInd w:w="534" w:type="dxa"/>
        <w:tblLayout w:type="fixed"/>
        <w:tblLook w:val="0000"/>
      </w:tblPr>
      <w:tblGrid>
        <w:gridCol w:w="900"/>
        <w:gridCol w:w="92"/>
        <w:gridCol w:w="992"/>
        <w:gridCol w:w="1276"/>
        <w:gridCol w:w="1134"/>
        <w:gridCol w:w="1276"/>
        <w:gridCol w:w="1417"/>
        <w:gridCol w:w="1276"/>
        <w:gridCol w:w="1134"/>
        <w:gridCol w:w="1134"/>
        <w:gridCol w:w="283"/>
        <w:gridCol w:w="709"/>
        <w:gridCol w:w="1418"/>
        <w:gridCol w:w="1417"/>
      </w:tblGrid>
      <w:tr w:rsidR="00E80EED" w:rsidRPr="00D439B0" w:rsidTr="001D32AB">
        <w:trPr>
          <w:trHeight w:val="17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ind w:left="72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</w:p>
        </w:tc>
        <w:tc>
          <w:tcPr>
            <w:tcW w:w="135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:rsidR="00E80EED" w:rsidRPr="00D439B0" w:rsidRDefault="00E80EED" w:rsidP="001D32AB">
            <w:pPr>
              <w:ind w:left="72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E). Volúmenes y precios</w:t>
            </w:r>
          </w:p>
        </w:tc>
      </w:tr>
      <w:tr w:rsidR="00E80EED" w:rsidRPr="00D439B0" w:rsidTr="001D32AB">
        <w:trPr>
          <w:trHeight w:val="350"/>
        </w:trPr>
        <w:tc>
          <w:tcPr>
            <w:tcW w:w="106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Volúmenes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8"/>
                <w:szCs w:val="22"/>
                <w:lang w:val="es-MX"/>
              </w:rPr>
              <w:t>Precios</w:t>
            </w:r>
          </w:p>
        </w:tc>
      </w:tr>
      <w:tr w:rsidR="00E80EED" w:rsidRPr="00D439B0" w:rsidTr="001D32AB">
        <w:trPr>
          <w:trHeight w:val="350"/>
        </w:trPr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Año / Tipo de información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  <w:t>IMSS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  <w:t>ISSSTE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  <w:t>SALUD CENSIDA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  <w:t>SALUD</w:t>
            </w:r>
          </w:p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1"/>
                <w:lang w:val="es-MX"/>
              </w:rPr>
              <w:t>OTRAS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 xml:space="preserve">Otras </w:t>
            </w:r>
            <w:proofErr w:type="spellStart"/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inst</w:t>
            </w:r>
            <w:proofErr w:type="spellEnd"/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Total sector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19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19"/>
                <w:lang w:val="es-MX"/>
              </w:rPr>
              <w:t>Incremento %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Año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  <w:t>Negociado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  <w:t>De referencia</w:t>
            </w:r>
          </w:p>
        </w:tc>
      </w:tr>
      <w:tr w:rsidR="00E80EED" w:rsidRPr="00D439B0" w:rsidTr="001D32AB">
        <w:trPr>
          <w:trHeight w:val="350"/>
        </w:trPr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2010</w:t>
            </w:r>
          </w:p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4"/>
                <w:szCs w:val="18"/>
                <w:lang w:val="es-MX"/>
              </w:rPr>
              <w:t>Adquirido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2"/>
                <w:szCs w:val="16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2"/>
                <w:szCs w:val="16"/>
                <w:lang w:val="es-MX"/>
              </w:rPr>
              <w:t>Sector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18"/>
                <w:lang w:val="es-MX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ind w:left="-222" w:firstLine="222"/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</w:tr>
      <w:tr w:rsidR="00E80EED" w:rsidRPr="00D439B0" w:rsidTr="001D32AB">
        <w:trPr>
          <w:trHeight w:val="350"/>
        </w:trPr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b/>
                <w:sz w:val="12"/>
                <w:szCs w:val="16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2"/>
                <w:szCs w:val="16"/>
                <w:lang w:val="es-MX"/>
              </w:rPr>
              <w:t>Laboratorio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18"/>
                <w:lang w:val="es-MX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</w:tr>
      <w:tr w:rsidR="00E80EED" w:rsidRPr="00D439B0" w:rsidTr="001D32AB">
        <w:trPr>
          <w:trHeight w:val="350"/>
        </w:trPr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2011 – Adquirido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18"/>
                <w:lang w:val="es-MX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</w:tr>
      <w:tr w:rsidR="00E80EED" w:rsidRPr="00D439B0" w:rsidTr="001D32AB">
        <w:trPr>
          <w:trHeight w:val="350"/>
        </w:trPr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2012 – Adquirido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18"/>
                <w:lang w:val="es-MX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E36C0A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</w:tr>
      <w:tr w:rsidR="00E80EED" w:rsidRPr="00D439B0" w:rsidTr="001D32AB">
        <w:trPr>
          <w:trHeight w:val="350"/>
        </w:trPr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EED" w:rsidRPr="00D439B0" w:rsidRDefault="00E80EED" w:rsidP="001D32AB">
            <w:pPr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  <w:lang w:val="es-MX"/>
              </w:rPr>
              <w:t>2013 – Planeado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  <w:lang w:val="es-MX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18"/>
                <w:lang w:val="es-MX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color w:val="FFFFFF"/>
                <w:sz w:val="2"/>
                <w:szCs w:val="4"/>
                <w:lang w:val="es-MX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8" w:space="0" w:color="E36C0A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8"/>
                <w:szCs w:val="21"/>
              </w:rPr>
            </w:pPr>
            <w:r w:rsidRPr="00D439B0">
              <w:rPr>
                <w:rFonts w:ascii="Arial Narrow" w:hAnsi="Arial Narrow" w:cs="Arial"/>
                <w:b/>
                <w:sz w:val="18"/>
                <w:szCs w:val="21"/>
              </w:rPr>
              <w:t>2013</w:t>
            </w:r>
          </w:p>
        </w:tc>
        <w:tc>
          <w:tcPr>
            <w:tcW w:w="1418" w:type="dxa"/>
            <w:tcBorders>
              <w:top w:val="single" w:sz="18" w:space="0" w:color="E36C0A"/>
              <w:left w:val="single" w:sz="18" w:space="0" w:color="E36C0A"/>
              <w:bottom w:val="single" w:sz="18" w:space="0" w:color="E36C0A"/>
              <w:right w:val="single" w:sz="18" w:space="0" w:color="E36C0A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8" w:space="0" w:color="E36C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8"/>
                <w:szCs w:val="21"/>
              </w:rPr>
            </w:pPr>
          </w:p>
        </w:tc>
      </w:tr>
    </w:tbl>
    <w:p w:rsidR="00E80EED" w:rsidRPr="00D439B0" w:rsidRDefault="00E80EED" w:rsidP="00E80EED">
      <w:pPr>
        <w:rPr>
          <w:sz w:val="8"/>
          <w:szCs w:val="12"/>
          <w:lang w:val="es-MX"/>
        </w:rPr>
      </w:pPr>
    </w:p>
    <w:tbl>
      <w:tblPr>
        <w:tblW w:w="14458" w:type="dxa"/>
        <w:tblInd w:w="534" w:type="dxa"/>
        <w:tblLayout w:type="fixed"/>
        <w:tblLook w:val="0000"/>
      </w:tblPr>
      <w:tblGrid>
        <w:gridCol w:w="850"/>
        <w:gridCol w:w="1843"/>
        <w:gridCol w:w="1276"/>
        <w:gridCol w:w="1134"/>
        <w:gridCol w:w="1275"/>
        <w:gridCol w:w="1985"/>
        <w:gridCol w:w="1134"/>
        <w:gridCol w:w="283"/>
        <w:gridCol w:w="4678"/>
      </w:tblGrid>
      <w:tr w:rsidR="00E80EED" w:rsidRPr="00BE69C3" w:rsidTr="001D32AB">
        <w:trPr>
          <w:trHeight w:val="417"/>
        </w:trPr>
        <w:tc>
          <w:tcPr>
            <w:tcW w:w="978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 w:themeFill="text1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 w:themeColor="background1"/>
                <w:sz w:val="12"/>
                <w:szCs w:val="16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 w:themeColor="background1"/>
                <w:sz w:val="18"/>
                <w:szCs w:val="22"/>
                <w:lang w:val="es-MX"/>
              </w:rPr>
              <w:t>F). Panorama del precio en presentación CBCM en MN</w:t>
            </w:r>
          </w:p>
        </w:tc>
        <w:tc>
          <w:tcPr>
            <w:tcW w:w="4678" w:type="dxa"/>
            <w:vMerge w:val="restart"/>
            <w:tcBorders>
              <w:left w:val="single" w:sz="2" w:space="0" w:color="auto"/>
            </w:tcBorders>
            <w:shd w:val="clear" w:color="auto" w:fill="auto"/>
          </w:tcPr>
          <w:p w:rsidR="00E80EED" w:rsidRPr="00D439B0" w:rsidRDefault="00E80EED" w:rsidP="00E80EED">
            <w:pPr>
              <w:jc w:val="right"/>
              <w:rPr>
                <w:rFonts w:ascii="Arial Narrow" w:hAnsi="Arial Narrow" w:cs="Arial"/>
                <w:sz w:val="18"/>
                <w:szCs w:val="22"/>
                <w:lang w:val="es-MX"/>
              </w:rPr>
            </w:pPr>
            <w:r w:rsidRPr="00D439B0">
              <w:rPr>
                <w:rFonts w:ascii="Arial Narrow" w:hAnsi="Arial Narrow" w:cs="Arial"/>
                <w:sz w:val="18"/>
                <w:szCs w:val="22"/>
                <w:lang w:val="es-MX"/>
              </w:rPr>
              <w:t xml:space="preserve">Fuente del precio de referencia: </w:t>
            </w:r>
          </w:p>
        </w:tc>
      </w:tr>
      <w:tr w:rsidR="00E80EED" w:rsidRPr="00D439B0" w:rsidTr="00BE69C3">
        <w:trPr>
          <w:trHeight w:val="417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08080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color w:val="FFFFFF"/>
                <w:sz w:val="16"/>
                <w:szCs w:val="20"/>
                <w:lang w:val="es-MX"/>
              </w:rPr>
              <w:t>Rubro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Precio de referencia MN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Brasil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Canadá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Chile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Colombia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EE UU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2"/>
                <w:szCs w:val="16"/>
                <w:lang w:val="es-MX"/>
              </w:rPr>
            </w:pPr>
          </w:p>
        </w:tc>
        <w:tc>
          <w:tcPr>
            <w:tcW w:w="4678" w:type="dxa"/>
            <w:vMerge/>
            <w:tcBorders>
              <w:left w:val="single" w:sz="2" w:space="0" w:color="auto"/>
            </w:tcBorders>
            <w:shd w:val="clear" w:color="auto" w:fill="auto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</w:tr>
      <w:tr w:rsidR="00E80EED" w:rsidRPr="00D439B0" w:rsidTr="00BE69C3">
        <w:trPr>
          <w:trHeight w:val="350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</w:pPr>
            <w:r w:rsidRPr="00D439B0">
              <w:rPr>
                <w:rFonts w:ascii="Arial Narrow" w:hAnsi="Arial Narrow" w:cs="Arial"/>
                <w:b/>
                <w:sz w:val="16"/>
                <w:szCs w:val="20"/>
                <w:lang w:val="es-MX"/>
              </w:rPr>
              <w:t>Precio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6"/>
                <w:szCs w:val="20"/>
                <w:lang w:val="es-MX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  <w:tc>
          <w:tcPr>
            <w:tcW w:w="4678" w:type="dxa"/>
            <w:vMerge/>
            <w:tcBorders>
              <w:left w:val="single" w:sz="2" w:space="0" w:color="auto"/>
            </w:tcBorders>
            <w:shd w:val="clear" w:color="auto" w:fill="auto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noProof/>
                <w:sz w:val="16"/>
                <w:szCs w:val="20"/>
                <w:lang w:val="es-MX"/>
              </w:rPr>
            </w:pPr>
          </w:p>
        </w:tc>
      </w:tr>
      <w:tr w:rsidR="00E80EED" w:rsidRPr="00D439B0" w:rsidTr="00BE69C3">
        <w:trPr>
          <w:trHeight w:val="350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b/>
                <w:sz w:val="14"/>
                <w:szCs w:val="16"/>
                <w:lang w:val="es-MX"/>
              </w:rPr>
            </w:pPr>
            <w:proofErr w:type="spellStart"/>
            <w:r w:rsidRPr="00D439B0">
              <w:rPr>
                <w:rFonts w:ascii="Arial Narrow" w:hAnsi="Arial Narrow" w:cs="Arial"/>
                <w:b/>
                <w:sz w:val="14"/>
                <w:szCs w:val="16"/>
                <w:lang w:val="es-MX"/>
              </w:rPr>
              <w:t>Dif</w:t>
            </w:r>
            <w:proofErr w:type="spellEnd"/>
            <w:r w:rsidRPr="00D439B0">
              <w:rPr>
                <w:rFonts w:ascii="Arial Narrow" w:hAnsi="Arial Narrow" w:cs="Arial"/>
                <w:b/>
                <w:sz w:val="14"/>
                <w:szCs w:val="16"/>
                <w:lang w:val="es-MX"/>
              </w:rPr>
              <w:t>. %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4"/>
                <w:szCs w:val="14"/>
                <w:lang w:val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4"/>
                <w:szCs w:val="14"/>
                <w:lang w:val="es-MX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noProof/>
                <w:sz w:val="14"/>
                <w:szCs w:val="14"/>
                <w:lang w:val="es-MX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4"/>
                <w:szCs w:val="14"/>
                <w:lang w:val="es-MX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80EED" w:rsidRPr="00D439B0" w:rsidRDefault="00E80EED" w:rsidP="001D32AB">
            <w:pPr>
              <w:jc w:val="center"/>
              <w:rPr>
                <w:rFonts w:ascii="Arial Narrow" w:hAnsi="Arial Narrow" w:cs="Arial"/>
                <w:sz w:val="10"/>
                <w:szCs w:val="14"/>
                <w:lang w:val="es-MX"/>
              </w:rPr>
            </w:pPr>
          </w:p>
        </w:tc>
        <w:tc>
          <w:tcPr>
            <w:tcW w:w="4678" w:type="dxa"/>
            <w:vMerge/>
            <w:tcBorders>
              <w:left w:val="single" w:sz="2" w:space="0" w:color="auto"/>
            </w:tcBorders>
            <w:shd w:val="clear" w:color="auto" w:fill="auto"/>
          </w:tcPr>
          <w:p w:rsidR="00E80EED" w:rsidRPr="00D439B0" w:rsidRDefault="00E80EED" w:rsidP="001D32AB">
            <w:pPr>
              <w:jc w:val="right"/>
              <w:rPr>
                <w:rFonts w:ascii="Arial Narrow" w:hAnsi="Arial Narrow" w:cs="Arial"/>
                <w:sz w:val="10"/>
                <w:szCs w:val="14"/>
                <w:lang w:val="es-MX"/>
              </w:rPr>
            </w:pPr>
          </w:p>
        </w:tc>
      </w:tr>
    </w:tbl>
    <w:p w:rsidR="004357D1" w:rsidRPr="004357D1" w:rsidRDefault="004357D1" w:rsidP="004357D1">
      <w:pPr>
        <w:spacing w:before="120"/>
        <w:jc w:val="center"/>
        <w:rPr>
          <w:rFonts w:ascii="Arial Narrow" w:hAnsi="Arial Narrow"/>
          <w:sz w:val="14"/>
          <w:szCs w:val="28"/>
          <w:lang w:val="es-ES"/>
        </w:rPr>
      </w:pPr>
      <w:bookmarkStart w:id="0" w:name="_GoBack"/>
      <w:bookmarkEnd w:id="0"/>
    </w:p>
    <w:sectPr w:rsidR="004357D1" w:rsidRPr="004357D1" w:rsidSect="003D617D">
      <w:pgSz w:w="15840" w:h="12240" w:orient="landscape"/>
      <w:pgMar w:top="720" w:right="426" w:bottom="720" w:left="284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6"/>
      <w:numFmt w:val="bullet"/>
      <w:lvlText w:val="-"/>
      <w:lvlJc w:val="left"/>
      <w:pPr>
        <w:ind w:left="720" w:hanging="360"/>
      </w:pPr>
      <w:rPr>
        <w:rFonts w:ascii="Arial" w:hAnsi="Arial" w:cs="Arial"/>
        <w:sz w:val="18"/>
      </w:rPr>
    </w:lvl>
  </w:abstractNum>
  <w:abstractNum w:abstractNumId="1">
    <w:nsid w:val="166A2012"/>
    <w:multiLevelType w:val="hybridMultilevel"/>
    <w:tmpl w:val="FBC2EA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04947"/>
    <w:multiLevelType w:val="hybridMultilevel"/>
    <w:tmpl w:val="E1F0550A"/>
    <w:lvl w:ilvl="0" w:tplc="652242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74C8C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97EFD"/>
    <w:multiLevelType w:val="hybridMultilevel"/>
    <w:tmpl w:val="017AF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6002A0"/>
    <w:multiLevelType w:val="hybridMultilevel"/>
    <w:tmpl w:val="E312B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F0406"/>
    <w:multiLevelType w:val="hybridMultilevel"/>
    <w:tmpl w:val="EECC87C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3C682E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844D3"/>
    <w:multiLevelType w:val="hybridMultilevel"/>
    <w:tmpl w:val="26F630F8"/>
    <w:lvl w:ilvl="0" w:tplc="4740BF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380EA3"/>
    <w:multiLevelType w:val="hybridMultilevel"/>
    <w:tmpl w:val="6756DF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062AE"/>
    <w:multiLevelType w:val="hybridMultilevel"/>
    <w:tmpl w:val="4A2E504C"/>
    <w:lvl w:ilvl="0" w:tplc="626E84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6A1817"/>
    <w:multiLevelType w:val="hybridMultilevel"/>
    <w:tmpl w:val="04AA485E"/>
    <w:lvl w:ilvl="0" w:tplc="8D4E7C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42C4C"/>
    <w:multiLevelType w:val="hybridMultilevel"/>
    <w:tmpl w:val="BF2A5BE4"/>
    <w:lvl w:ilvl="0" w:tplc="2D103196">
      <w:start w:val="7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6420FD"/>
    <w:multiLevelType w:val="hybridMultilevel"/>
    <w:tmpl w:val="CAB61CEA"/>
    <w:lvl w:ilvl="0" w:tplc="A7B69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7"/>
  </w:num>
  <w:num w:numId="10">
    <w:abstractNumId w:val="12"/>
  </w:num>
  <w:num w:numId="11">
    <w:abstractNumId w:val="1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hyphenationZone w:val="425"/>
  <w:characterSpacingControl w:val="doNotCompress"/>
  <w:compat/>
  <w:rsids>
    <w:rsidRoot w:val="001A3D1E"/>
    <w:rsid w:val="0000242E"/>
    <w:rsid w:val="00003BAF"/>
    <w:rsid w:val="00004391"/>
    <w:rsid w:val="00010160"/>
    <w:rsid w:val="000123EE"/>
    <w:rsid w:val="0002332A"/>
    <w:rsid w:val="00023989"/>
    <w:rsid w:val="00027824"/>
    <w:rsid w:val="00037E69"/>
    <w:rsid w:val="00042C40"/>
    <w:rsid w:val="0004307D"/>
    <w:rsid w:val="00045C5D"/>
    <w:rsid w:val="00050E8A"/>
    <w:rsid w:val="00052B95"/>
    <w:rsid w:val="00053DDD"/>
    <w:rsid w:val="00054422"/>
    <w:rsid w:val="000556CF"/>
    <w:rsid w:val="00063654"/>
    <w:rsid w:val="00064592"/>
    <w:rsid w:val="00072C04"/>
    <w:rsid w:val="00074099"/>
    <w:rsid w:val="000761D2"/>
    <w:rsid w:val="00076B8F"/>
    <w:rsid w:val="00082E47"/>
    <w:rsid w:val="000868A0"/>
    <w:rsid w:val="000922E5"/>
    <w:rsid w:val="000A1740"/>
    <w:rsid w:val="000A2CBC"/>
    <w:rsid w:val="000A53FF"/>
    <w:rsid w:val="000A5877"/>
    <w:rsid w:val="000B7D06"/>
    <w:rsid w:val="000C1503"/>
    <w:rsid w:val="000D1E74"/>
    <w:rsid w:val="000D34DD"/>
    <w:rsid w:val="000D437B"/>
    <w:rsid w:val="000D6126"/>
    <w:rsid w:val="000E094A"/>
    <w:rsid w:val="000E2DBC"/>
    <w:rsid w:val="000E64F0"/>
    <w:rsid w:val="000F1CDA"/>
    <w:rsid w:val="000F5317"/>
    <w:rsid w:val="00104076"/>
    <w:rsid w:val="00105C0C"/>
    <w:rsid w:val="00110987"/>
    <w:rsid w:val="0012437E"/>
    <w:rsid w:val="001277CF"/>
    <w:rsid w:val="001326C1"/>
    <w:rsid w:val="00133E21"/>
    <w:rsid w:val="0013596A"/>
    <w:rsid w:val="001424BC"/>
    <w:rsid w:val="001544AD"/>
    <w:rsid w:val="001848DF"/>
    <w:rsid w:val="00190FE7"/>
    <w:rsid w:val="00195C1C"/>
    <w:rsid w:val="001A07D6"/>
    <w:rsid w:val="001A3D1E"/>
    <w:rsid w:val="001C1FCB"/>
    <w:rsid w:val="001C2704"/>
    <w:rsid w:val="001C619B"/>
    <w:rsid w:val="001D32F1"/>
    <w:rsid w:val="001D36D6"/>
    <w:rsid w:val="001E0FF9"/>
    <w:rsid w:val="001E7343"/>
    <w:rsid w:val="001F086F"/>
    <w:rsid w:val="00207A76"/>
    <w:rsid w:val="00221BC3"/>
    <w:rsid w:val="00221F0B"/>
    <w:rsid w:val="002240C0"/>
    <w:rsid w:val="00235C2B"/>
    <w:rsid w:val="002366C9"/>
    <w:rsid w:val="002434AF"/>
    <w:rsid w:val="00247932"/>
    <w:rsid w:val="00247FDF"/>
    <w:rsid w:val="00253106"/>
    <w:rsid w:val="00255030"/>
    <w:rsid w:val="00261F27"/>
    <w:rsid w:val="0026271E"/>
    <w:rsid w:val="00272B30"/>
    <w:rsid w:val="00273EE0"/>
    <w:rsid w:val="002763BE"/>
    <w:rsid w:val="002870BE"/>
    <w:rsid w:val="002945BC"/>
    <w:rsid w:val="002963FF"/>
    <w:rsid w:val="002B54DE"/>
    <w:rsid w:val="002B73AD"/>
    <w:rsid w:val="002C1066"/>
    <w:rsid w:val="002C64C7"/>
    <w:rsid w:val="002C7664"/>
    <w:rsid w:val="002E5232"/>
    <w:rsid w:val="002E55C1"/>
    <w:rsid w:val="002E5D18"/>
    <w:rsid w:val="002F1B48"/>
    <w:rsid w:val="002F3AE8"/>
    <w:rsid w:val="003025B3"/>
    <w:rsid w:val="003143B8"/>
    <w:rsid w:val="003171F6"/>
    <w:rsid w:val="00321720"/>
    <w:rsid w:val="00323839"/>
    <w:rsid w:val="00325136"/>
    <w:rsid w:val="00327E49"/>
    <w:rsid w:val="00332071"/>
    <w:rsid w:val="00332ABC"/>
    <w:rsid w:val="00340196"/>
    <w:rsid w:val="00340764"/>
    <w:rsid w:val="00340B2B"/>
    <w:rsid w:val="00342F6E"/>
    <w:rsid w:val="0034706E"/>
    <w:rsid w:val="00365D3E"/>
    <w:rsid w:val="003672AC"/>
    <w:rsid w:val="00370B6C"/>
    <w:rsid w:val="00377C1D"/>
    <w:rsid w:val="00381D06"/>
    <w:rsid w:val="00383CC5"/>
    <w:rsid w:val="00391446"/>
    <w:rsid w:val="00393442"/>
    <w:rsid w:val="00395B6B"/>
    <w:rsid w:val="003976BD"/>
    <w:rsid w:val="003A72D1"/>
    <w:rsid w:val="003A7882"/>
    <w:rsid w:val="003A7A51"/>
    <w:rsid w:val="003B528E"/>
    <w:rsid w:val="003C110B"/>
    <w:rsid w:val="003D5240"/>
    <w:rsid w:val="003D617D"/>
    <w:rsid w:val="003E4DBC"/>
    <w:rsid w:val="003E7479"/>
    <w:rsid w:val="003F2CAD"/>
    <w:rsid w:val="003F6065"/>
    <w:rsid w:val="003F75FD"/>
    <w:rsid w:val="004058C2"/>
    <w:rsid w:val="00406B56"/>
    <w:rsid w:val="00407487"/>
    <w:rsid w:val="00407DF5"/>
    <w:rsid w:val="0041682C"/>
    <w:rsid w:val="00421043"/>
    <w:rsid w:val="004257DC"/>
    <w:rsid w:val="004310C7"/>
    <w:rsid w:val="00434A76"/>
    <w:rsid w:val="004357D1"/>
    <w:rsid w:val="00436474"/>
    <w:rsid w:val="00436FEB"/>
    <w:rsid w:val="004379DE"/>
    <w:rsid w:val="00442860"/>
    <w:rsid w:val="004431BD"/>
    <w:rsid w:val="00450E6F"/>
    <w:rsid w:val="004555DC"/>
    <w:rsid w:val="00456890"/>
    <w:rsid w:val="004660DF"/>
    <w:rsid w:val="0047246F"/>
    <w:rsid w:val="004735BD"/>
    <w:rsid w:val="004750F6"/>
    <w:rsid w:val="00475778"/>
    <w:rsid w:val="00476780"/>
    <w:rsid w:val="00476EB4"/>
    <w:rsid w:val="00487D92"/>
    <w:rsid w:val="0049080C"/>
    <w:rsid w:val="00492EA7"/>
    <w:rsid w:val="0049475E"/>
    <w:rsid w:val="00494D9D"/>
    <w:rsid w:val="00495433"/>
    <w:rsid w:val="004A0A77"/>
    <w:rsid w:val="004A0C21"/>
    <w:rsid w:val="004A1B11"/>
    <w:rsid w:val="004A29BB"/>
    <w:rsid w:val="004B4733"/>
    <w:rsid w:val="004B482C"/>
    <w:rsid w:val="004C02DD"/>
    <w:rsid w:val="004C0BF6"/>
    <w:rsid w:val="004C39B3"/>
    <w:rsid w:val="004C42B6"/>
    <w:rsid w:val="004C4ABD"/>
    <w:rsid w:val="004E4E50"/>
    <w:rsid w:val="004E7438"/>
    <w:rsid w:val="00506433"/>
    <w:rsid w:val="00507257"/>
    <w:rsid w:val="00510218"/>
    <w:rsid w:val="0051318E"/>
    <w:rsid w:val="00513FAA"/>
    <w:rsid w:val="00514ADD"/>
    <w:rsid w:val="00515436"/>
    <w:rsid w:val="00516211"/>
    <w:rsid w:val="00517210"/>
    <w:rsid w:val="005174CF"/>
    <w:rsid w:val="00526C0A"/>
    <w:rsid w:val="0053112E"/>
    <w:rsid w:val="00534891"/>
    <w:rsid w:val="0054078A"/>
    <w:rsid w:val="00546197"/>
    <w:rsid w:val="00546927"/>
    <w:rsid w:val="00550D5B"/>
    <w:rsid w:val="00550F1A"/>
    <w:rsid w:val="005531E4"/>
    <w:rsid w:val="0055731B"/>
    <w:rsid w:val="0056756B"/>
    <w:rsid w:val="005820BA"/>
    <w:rsid w:val="00582998"/>
    <w:rsid w:val="00592D8E"/>
    <w:rsid w:val="005A08DB"/>
    <w:rsid w:val="005A37F8"/>
    <w:rsid w:val="005A56F5"/>
    <w:rsid w:val="005A74A4"/>
    <w:rsid w:val="005B2F21"/>
    <w:rsid w:val="005B5C1D"/>
    <w:rsid w:val="005B6FB2"/>
    <w:rsid w:val="005C051B"/>
    <w:rsid w:val="005C57CE"/>
    <w:rsid w:val="005D081D"/>
    <w:rsid w:val="005D18CB"/>
    <w:rsid w:val="005D47EE"/>
    <w:rsid w:val="005D4E64"/>
    <w:rsid w:val="005D5871"/>
    <w:rsid w:val="005E26E2"/>
    <w:rsid w:val="005F2D1D"/>
    <w:rsid w:val="005F71D4"/>
    <w:rsid w:val="006011B8"/>
    <w:rsid w:val="0060216F"/>
    <w:rsid w:val="006158EB"/>
    <w:rsid w:val="006229EB"/>
    <w:rsid w:val="00624055"/>
    <w:rsid w:val="006245DE"/>
    <w:rsid w:val="00642567"/>
    <w:rsid w:val="00653332"/>
    <w:rsid w:val="0067686D"/>
    <w:rsid w:val="00676ED2"/>
    <w:rsid w:val="0069598C"/>
    <w:rsid w:val="006A28D3"/>
    <w:rsid w:val="006A2BE4"/>
    <w:rsid w:val="006A50DA"/>
    <w:rsid w:val="006B5606"/>
    <w:rsid w:val="006B5CFC"/>
    <w:rsid w:val="006C1F40"/>
    <w:rsid w:val="006C473A"/>
    <w:rsid w:val="006D3350"/>
    <w:rsid w:val="006D77F6"/>
    <w:rsid w:val="006E1774"/>
    <w:rsid w:val="006E354A"/>
    <w:rsid w:val="006E5F89"/>
    <w:rsid w:val="006E7697"/>
    <w:rsid w:val="006F62C6"/>
    <w:rsid w:val="006F7807"/>
    <w:rsid w:val="007013BE"/>
    <w:rsid w:val="00705A78"/>
    <w:rsid w:val="0071032D"/>
    <w:rsid w:val="00710A09"/>
    <w:rsid w:val="00716A5E"/>
    <w:rsid w:val="00720F91"/>
    <w:rsid w:val="007261C3"/>
    <w:rsid w:val="00726530"/>
    <w:rsid w:val="00731C7A"/>
    <w:rsid w:val="007502A0"/>
    <w:rsid w:val="007551BA"/>
    <w:rsid w:val="00756214"/>
    <w:rsid w:val="007570C7"/>
    <w:rsid w:val="00765E51"/>
    <w:rsid w:val="007679F3"/>
    <w:rsid w:val="00773BEB"/>
    <w:rsid w:val="00782CF0"/>
    <w:rsid w:val="00787400"/>
    <w:rsid w:val="00792F5B"/>
    <w:rsid w:val="00793461"/>
    <w:rsid w:val="00794F31"/>
    <w:rsid w:val="0079674F"/>
    <w:rsid w:val="007A31B9"/>
    <w:rsid w:val="007A7132"/>
    <w:rsid w:val="007A7FD3"/>
    <w:rsid w:val="007B1C9E"/>
    <w:rsid w:val="007B4A67"/>
    <w:rsid w:val="007C087F"/>
    <w:rsid w:val="007C11C6"/>
    <w:rsid w:val="007C3391"/>
    <w:rsid w:val="007C7F21"/>
    <w:rsid w:val="007D363D"/>
    <w:rsid w:val="007F2A4A"/>
    <w:rsid w:val="007F372D"/>
    <w:rsid w:val="007F6D4A"/>
    <w:rsid w:val="008026E3"/>
    <w:rsid w:val="00814786"/>
    <w:rsid w:val="00825E56"/>
    <w:rsid w:val="0082746A"/>
    <w:rsid w:val="00832309"/>
    <w:rsid w:val="0083729B"/>
    <w:rsid w:val="00840221"/>
    <w:rsid w:val="0084204A"/>
    <w:rsid w:val="00845A9E"/>
    <w:rsid w:val="008471AC"/>
    <w:rsid w:val="008508C5"/>
    <w:rsid w:val="00860EE9"/>
    <w:rsid w:val="00861C1E"/>
    <w:rsid w:val="0086266D"/>
    <w:rsid w:val="0086330F"/>
    <w:rsid w:val="008668DB"/>
    <w:rsid w:val="00872BC8"/>
    <w:rsid w:val="0087395E"/>
    <w:rsid w:val="00873F59"/>
    <w:rsid w:val="0088105B"/>
    <w:rsid w:val="00885B5A"/>
    <w:rsid w:val="00887498"/>
    <w:rsid w:val="00894B4A"/>
    <w:rsid w:val="00897F8E"/>
    <w:rsid w:val="008A2C82"/>
    <w:rsid w:val="008A51C5"/>
    <w:rsid w:val="008B0457"/>
    <w:rsid w:val="008C5F9C"/>
    <w:rsid w:val="008C75A3"/>
    <w:rsid w:val="008D197E"/>
    <w:rsid w:val="008D1A07"/>
    <w:rsid w:val="008F3248"/>
    <w:rsid w:val="008F3BF5"/>
    <w:rsid w:val="009004A1"/>
    <w:rsid w:val="00901718"/>
    <w:rsid w:val="00901826"/>
    <w:rsid w:val="00902579"/>
    <w:rsid w:val="00904588"/>
    <w:rsid w:val="009045E0"/>
    <w:rsid w:val="00905565"/>
    <w:rsid w:val="009057AA"/>
    <w:rsid w:val="009070ED"/>
    <w:rsid w:val="00910358"/>
    <w:rsid w:val="00912947"/>
    <w:rsid w:val="009145DF"/>
    <w:rsid w:val="009176EF"/>
    <w:rsid w:val="00921E9F"/>
    <w:rsid w:val="0093270F"/>
    <w:rsid w:val="00944CFF"/>
    <w:rsid w:val="00947F3A"/>
    <w:rsid w:val="009643E9"/>
    <w:rsid w:val="00967133"/>
    <w:rsid w:val="00981FBF"/>
    <w:rsid w:val="0098330B"/>
    <w:rsid w:val="0099555C"/>
    <w:rsid w:val="00996B25"/>
    <w:rsid w:val="009A138A"/>
    <w:rsid w:val="009B10C7"/>
    <w:rsid w:val="009B2FE3"/>
    <w:rsid w:val="009C1C2E"/>
    <w:rsid w:val="009C1F8E"/>
    <w:rsid w:val="009C3114"/>
    <w:rsid w:val="009C4140"/>
    <w:rsid w:val="009C4351"/>
    <w:rsid w:val="009C5691"/>
    <w:rsid w:val="009D4ECF"/>
    <w:rsid w:val="009D6D8C"/>
    <w:rsid w:val="009E383F"/>
    <w:rsid w:val="009F0D35"/>
    <w:rsid w:val="009F22A0"/>
    <w:rsid w:val="00A10084"/>
    <w:rsid w:val="00A141FE"/>
    <w:rsid w:val="00A14E33"/>
    <w:rsid w:val="00A15D5C"/>
    <w:rsid w:val="00A17652"/>
    <w:rsid w:val="00A210CB"/>
    <w:rsid w:val="00A21A3B"/>
    <w:rsid w:val="00A262CC"/>
    <w:rsid w:val="00A26DE8"/>
    <w:rsid w:val="00A31ED5"/>
    <w:rsid w:val="00A36504"/>
    <w:rsid w:val="00A40B56"/>
    <w:rsid w:val="00A42819"/>
    <w:rsid w:val="00A46168"/>
    <w:rsid w:val="00A47684"/>
    <w:rsid w:val="00A520A4"/>
    <w:rsid w:val="00A52779"/>
    <w:rsid w:val="00A57D60"/>
    <w:rsid w:val="00A61F72"/>
    <w:rsid w:val="00A64A89"/>
    <w:rsid w:val="00A666E5"/>
    <w:rsid w:val="00A71629"/>
    <w:rsid w:val="00A81780"/>
    <w:rsid w:val="00A82B59"/>
    <w:rsid w:val="00A86C00"/>
    <w:rsid w:val="00AA05D5"/>
    <w:rsid w:val="00AA6A94"/>
    <w:rsid w:val="00AB3D4E"/>
    <w:rsid w:val="00AB6FFA"/>
    <w:rsid w:val="00AB765A"/>
    <w:rsid w:val="00AB7723"/>
    <w:rsid w:val="00AC5C76"/>
    <w:rsid w:val="00AD45E4"/>
    <w:rsid w:val="00AD562B"/>
    <w:rsid w:val="00AD6447"/>
    <w:rsid w:val="00AE062E"/>
    <w:rsid w:val="00AE3B40"/>
    <w:rsid w:val="00AF3882"/>
    <w:rsid w:val="00AF73AC"/>
    <w:rsid w:val="00B010A1"/>
    <w:rsid w:val="00B0640B"/>
    <w:rsid w:val="00B13962"/>
    <w:rsid w:val="00B1737A"/>
    <w:rsid w:val="00B25A4F"/>
    <w:rsid w:val="00B3101F"/>
    <w:rsid w:val="00B352B2"/>
    <w:rsid w:val="00B36E59"/>
    <w:rsid w:val="00B3793E"/>
    <w:rsid w:val="00B4671B"/>
    <w:rsid w:val="00B47108"/>
    <w:rsid w:val="00B53222"/>
    <w:rsid w:val="00B5505A"/>
    <w:rsid w:val="00B63366"/>
    <w:rsid w:val="00B639CA"/>
    <w:rsid w:val="00B72343"/>
    <w:rsid w:val="00B733F5"/>
    <w:rsid w:val="00B73429"/>
    <w:rsid w:val="00B74443"/>
    <w:rsid w:val="00B76E6D"/>
    <w:rsid w:val="00B80A85"/>
    <w:rsid w:val="00B853E9"/>
    <w:rsid w:val="00B91E87"/>
    <w:rsid w:val="00B92A1B"/>
    <w:rsid w:val="00B937E9"/>
    <w:rsid w:val="00BA57EB"/>
    <w:rsid w:val="00BB21EC"/>
    <w:rsid w:val="00BC11B2"/>
    <w:rsid w:val="00BC46C7"/>
    <w:rsid w:val="00BD0175"/>
    <w:rsid w:val="00BE5216"/>
    <w:rsid w:val="00BE5A11"/>
    <w:rsid w:val="00BE69C3"/>
    <w:rsid w:val="00BE7FE8"/>
    <w:rsid w:val="00BF13E8"/>
    <w:rsid w:val="00BF4FBB"/>
    <w:rsid w:val="00BF6BE2"/>
    <w:rsid w:val="00C007A4"/>
    <w:rsid w:val="00C00917"/>
    <w:rsid w:val="00C02E2B"/>
    <w:rsid w:val="00C102E4"/>
    <w:rsid w:val="00C142CE"/>
    <w:rsid w:val="00C16E43"/>
    <w:rsid w:val="00C21014"/>
    <w:rsid w:val="00C335E4"/>
    <w:rsid w:val="00C35B3A"/>
    <w:rsid w:val="00C4131C"/>
    <w:rsid w:val="00C463E3"/>
    <w:rsid w:val="00C477DA"/>
    <w:rsid w:val="00C51434"/>
    <w:rsid w:val="00C60FB4"/>
    <w:rsid w:val="00C6397B"/>
    <w:rsid w:val="00C67444"/>
    <w:rsid w:val="00C777AC"/>
    <w:rsid w:val="00C85EC8"/>
    <w:rsid w:val="00C861E6"/>
    <w:rsid w:val="00C86AA8"/>
    <w:rsid w:val="00C871C3"/>
    <w:rsid w:val="00C913BE"/>
    <w:rsid w:val="00C94E2D"/>
    <w:rsid w:val="00C95442"/>
    <w:rsid w:val="00CA3E05"/>
    <w:rsid w:val="00CA4FB7"/>
    <w:rsid w:val="00CC2884"/>
    <w:rsid w:val="00CC32D6"/>
    <w:rsid w:val="00CC33CF"/>
    <w:rsid w:val="00CC5F74"/>
    <w:rsid w:val="00CC7987"/>
    <w:rsid w:val="00CD1379"/>
    <w:rsid w:val="00CD3A17"/>
    <w:rsid w:val="00CD4528"/>
    <w:rsid w:val="00CD7B46"/>
    <w:rsid w:val="00CE658B"/>
    <w:rsid w:val="00CF1168"/>
    <w:rsid w:val="00CF1CD3"/>
    <w:rsid w:val="00CF28DF"/>
    <w:rsid w:val="00CF2F63"/>
    <w:rsid w:val="00CF2FD0"/>
    <w:rsid w:val="00CF4414"/>
    <w:rsid w:val="00CF4AFB"/>
    <w:rsid w:val="00CF6B48"/>
    <w:rsid w:val="00D00DD2"/>
    <w:rsid w:val="00D03430"/>
    <w:rsid w:val="00D0582A"/>
    <w:rsid w:val="00D1556F"/>
    <w:rsid w:val="00D22F70"/>
    <w:rsid w:val="00D255F2"/>
    <w:rsid w:val="00D3076F"/>
    <w:rsid w:val="00D34FEB"/>
    <w:rsid w:val="00D35B09"/>
    <w:rsid w:val="00D37429"/>
    <w:rsid w:val="00D4218B"/>
    <w:rsid w:val="00D439B0"/>
    <w:rsid w:val="00D4602B"/>
    <w:rsid w:val="00D46EF1"/>
    <w:rsid w:val="00D56902"/>
    <w:rsid w:val="00D61454"/>
    <w:rsid w:val="00D629E7"/>
    <w:rsid w:val="00D66702"/>
    <w:rsid w:val="00D70065"/>
    <w:rsid w:val="00D70FD1"/>
    <w:rsid w:val="00D73B46"/>
    <w:rsid w:val="00D762C0"/>
    <w:rsid w:val="00D76CA8"/>
    <w:rsid w:val="00D80D35"/>
    <w:rsid w:val="00D81457"/>
    <w:rsid w:val="00D85C16"/>
    <w:rsid w:val="00D877CD"/>
    <w:rsid w:val="00D93D51"/>
    <w:rsid w:val="00DA2F22"/>
    <w:rsid w:val="00DA5C77"/>
    <w:rsid w:val="00DB1AA9"/>
    <w:rsid w:val="00DB22CF"/>
    <w:rsid w:val="00DB33FD"/>
    <w:rsid w:val="00DC4325"/>
    <w:rsid w:val="00DC4F05"/>
    <w:rsid w:val="00DC550B"/>
    <w:rsid w:val="00DC6044"/>
    <w:rsid w:val="00DC6919"/>
    <w:rsid w:val="00DD1501"/>
    <w:rsid w:val="00DD28B7"/>
    <w:rsid w:val="00DD2956"/>
    <w:rsid w:val="00DD51B6"/>
    <w:rsid w:val="00DE2B43"/>
    <w:rsid w:val="00DE2D21"/>
    <w:rsid w:val="00DE3A46"/>
    <w:rsid w:val="00DF1687"/>
    <w:rsid w:val="00DF1F25"/>
    <w:rsid w:val="00DF6295"/>
    <w:rsid w:val="00DF75DC"/>
    <w:rsid w:val="00E11674"/>
    <w:rsid w:val="00E14BBD"/>
    <w:rsid w:val="00E163FF"/>
    <w:rsid w:val="00E16401"/>
    <w:rsid w:val="00E173A0"/>
    <w:rsid w:val="00E26AC4"/>
    <w:rsid w:val="00E30D0D"/>
    <w:rsid w:val="00E31EAF"/>
    <w:rsid w:val="00E32779"/>
    <w:rsid w:val="00E32A32"/>
    <w:rsid w:val="00E35EAD"/>
    <w:rsid w:val="00E37ED4"/>
    <w:rsid w:val="00E446FC"/>
    <w:rsid w:val="00E50015"/>
    <w:rsid w:val="00E516A6"/>
    <w:rsid w:val="00E52FFF"/>
    <w:rsid w:val="00E554F5"/>
    <w:rsid w:val="00E5728D"/>
    <w:rsid w:val="00E642F2"/>
    <w:rsid w:val="00E6502A"/>
    <w:rsid w:val="00E656C3"/>
    <w:rsid w:val="00E66C4E"/>
    <w:rsid w:val="00E71C22"/>
    <w:rsid w:val="00E7228A"/>
    <w:rsid w:val="00E738D5"/>
    <w:rsid w:val="00E76BC4"/>
    <w:rsid w:val="00E80379"/>
    <w:rsid w:val="00E80EED"/>
    <w:rsid w:val="00E830F2"/>
    <w:rsid w:val="00E875D9"/>
    <w:rsid w:val="00E97973"/>
    <w:rsid w:val="00E979B6"/>
    <w:rsid w:val="00EA259D"/>
    <w:rsid w:val="00EA73FE"/>
    <w:rsid w:val="00EB6759"/>
    <w:rsid w:val="00EB7081"/>
    <w:rsid w:val="00EB7E27"/>
    <w:rsid w:val="00EC389E"/>
    <w:rsid w:val="00EC4152"/>
    <w:rsid w:val="00EC71CD"/>
    <w:rsid w:val="00ED143F"/>
    <w:rsid w:val="00ED58D4"/>
    <w:rsid w:val="00EE1851"/>
    <w:rsid w:val="00EE1EE4"/>
    <w:rsid w:val="00EF366F"/>
    <w:rsid w:val="00EF3FBD"/>
    <w:rsid w:val="00EF5194"/>
    <w:rsid w:val="00EF6EA0"/>
    <w:rsid w:val="00F02AF6"/>
    <w:rsid w:val="00F03211"/>
    <w:rsid w:val="00F20512"/>
    <w:rsid w:val="00F20739"/>
    <w:rsid w:val="00F20EF8"/>
    <w:rsid w:val="00F27DF5"/>
    <w:rsid w:val="00F34CCA"/>
    <w:rsid w:val="00F3531B"/>
    <w:rsid w:val="00F35889"/>
    <w:rsid w:val="00F4199B"/>
    <w:rsid w:val="00F41ACB"/>
    <w:rsid w:val="00F434B9"/>
    <w:rsid w:val="00F44347"/>
    <w:rsid w:val="00F55882"/>
    <w:rsid w:val="00F62809"/>
    <w:rsid w:val="00F74035"/>
    <w:rsid w:val="00F81492"/>
    <w:rsid w:val="00F8166E"/>
    <w:rsid w:val="00F85A33"/>
    <w:rsid w:val="00F90C0E"/>
    <w:rsid w:val="00FA2BCF"/>
    <w:rsid w:val="00FA4C36"/>
    <w:rsid w:val="00FA6976"/>
    <w:rsid w:val="00FB241C"/>
    <w:rsid w:val="00FB4D6B"/>
    <w:rsid w:val="00FB4E72"/>
    <w:rsid w:val="00FB51B5"/>
    <w:rsid w:val="00FC0432"/>
    <w:rsid w:val="00FC4644"/>
    <w:rsid w:val="00FC5EF1"/>
    <w:rsid w:val="00FE3873"/>
    <w:rsid w:val="00FE5639"/>
    <w:rsid w:val="00FE72C6"/>
    <w:rsid w:val="00FE7586"/>
    <w:rsid w:val="00FF46CA"/>
    <w:rsid w:val="00FF4A99"/>
    <w:rsid w:val="00FF59C6"/>
    <w:rsid w:val="00FF6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70BE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873F5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73F59"/>
    <w:rPr>
      <w:rFonts w:ascii="Tahoma" w:hAnsi="Tahoma" w:cs="Tahoma"/>
      <w:sz w:val="16"/>
      <w:szCs w:val="16"/>
      <w:lang w:val="en-US" w:eastAsia="en-US"/>
    </w:rPr>
  </w:style>
  <w:style w:type="character" w:customStyle="1" w:styleId="estilo11">
    <w:name w:val="estilo11"/>
    <w:rsid w:val="00B010A1"/>
    <w:rPr>
      <w:rFonts w:ascii="Arial" w:hAnsi="Arial" w:cs="Arial" w:hint="default"/>
      <w:b/>
      <w:bCs/>
      <w:color w:val="0000FF"/>
      <w:sz w:val="21"/>
      <w:szCs w:val="21"/>
    </w:rPr>
  </w:style>
  <w:style w:type="paragraph" w:styleId="Prrafodelista">
    <w:name w:val="List Paragraph"/>
    <w:basedOn w:val="Normal"/>
    <w:uiPriority w:val="34"/>
    <w:qFormat/>
    <w:rsid w:val="00CF1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873F59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73F59"/>
    <w:rPr>
      <w:rFonts w:ascii="Tahoma" w:hAnsi="Tahoma" w:cs="Tahoma"/>
      <w:sz w:val="16"/>
      <w:szCs w:val="16"/>
      <w:lang w:val="en-US" w:eastAsia="en-US"/>
    </w:rPr>
  </w:style>
  <w:style w:type="character" w:customStyle="1" w:styleId="estilo11">
    <w:name w:val="estilo11"/>
    <w:rsid w:val="00B010A1"/>
    <w:rPr>
      <w:rFonts w:ascii="Arial" w:hAnsi="Arial" w:cs="Arial" w:hint="default"/>
      <w:b/>
      <w:bCs/>
      <w:color w:val="0000FF"/>
      <w:sz w:val="21"/>
      <w:szCs w:val="21"/>
    </w:rPr>
  </w:style>
  <w:style w:type="paragraph" w:styleId="Prrafodelista">
    <w:name w:val="List Paragraph"/>
    <w:basedOn w:val="Normal"/>
    <w:uiPriority w:val="34"/>
    <w:qFormat/>
    <w:rsid w:val="00CF1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684C-303D-433C-997E-9F4CD797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 la variable</vt:lpstr>
    </vt:vector>
  </TitlesOfParts>
  <Company>Mtra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 la variable</dc:title>
  <dc:creator>Blanca</dc:creator>
  <cp:lastModifiedBy>aaa</cp:lastModifiedBy>
  <cp:revision>2</cp:revision>
  <cp:lastPrinted>2012-08-31T23:52:00Z</cp:lastPrinted>
  <dcterms:created xsi:type="dcterms:W3CDTF">2012-09-24T04:55:00Z</dcterms:created>
  <dcterms:modified xsi:type="dcterms:W3CDTF">2012-09-24T04:55:00Z</dcterms:modified>
</cp:coreProperties>
</file>