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Pr="005A3611" w:rsidRDefault="00BC4851" w:rsidP="00BC4851">
      <w:pPr>
        <w:pStyle w:val="Encabezado"/>
        <w:jc w:val="center"/>
        <w:rPr>
          <w:rFonts w:ascii="Arial" w:hAnsi="Arial" w:cs="Arial"/>
          <w:b/>
          <w:bCs/>
          <w:sz w:val="28"/>
          <w:szCs w:val="28"/>
        </w:rPr>
      </w:pPr>
      <w:r w:rsidRPr="005A3611">
        <w:rPr>
          <w:rFonts w:ascii="Arial" w:hAnsi="Arial" w:cs="Arial"/>
          <w:b/>
          <w:bCs/>
          <w:sz w:val="28"/>
          <w:szCs w:val="28"/>
        </w:rPr>
        <w:t>3.</w:t>
      </w:r>
      <w:r w:rsidRPr="005A3611">
        <w:rPr>
          <w:rFonts w:ascii="Arial" w:hAnsi="Arial" w:cs="Arial"/>
          <w:b/>
          <w:sz w:val="28"/>
          <w:szCs w:val="28"/>
        </w:rPr>
        <w:t xml:space="preserve">  PROCE</w:t>
      </w:r>
      <w:r>
        <w:rPr>
          <w:rFonts w:ascii="Arial" w:hAnsi="Arial" w:cs="Arial"/>
          <w:b/>
          <w:sz w:val="28"/>
          <w:szCs w:val="28"/>
        </w:rPr>
        <w:t>DIMIENTO</w:t>
      </w:r>
      <w:r w:rsidRPr="005A3611">
        <w:rPr>
          <w:rFonts w:ascii="Arial" w:hAnsi="Arial" w:cs="Arial"/>
          <w:b/>
          <w:sz w:val="28"/>
          <w:szCs w:val="28"/>
        </w:rPr>
        <w:t xml:space="preserve"> PARA LA INSTRUMENTACIÓN DE LOS PROCESOS DE COMPRAS MEDIANTE LICITACIÓN PÚBLICA.</w:t>
      </w: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Propósito</w:t>
      </w: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5A3611">
        <w:rPr>
          <w:rFonts w:ascii="Arial" w:hAnsi="Arial" w:cs="Arial"/>
          <w:b/>
          <w:sz w:val="22"/>
          <w:szCs w:val="22"/>
        </w:rPr>
        <w:t>1.1</w:t>
      </w:r>
      <w:r>
        <w:rPr>
          <w:rFonts w:ascii="Arial" w:hAnsi="Arial" w:cs="Arial"/>
          <w:sz w:val="22"/>
          <w:szCs w:val="22"/>
        </w:rPr>
        <w:t xml:space="preserve">  Establecer los criterios para la instrumentación de los procedimientos de licitación pública, a efecto de que éstos se lleven a cabo en estricto apego a la normatividad aplicable.</w:t>
      </w: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Alcance </w:t>
      </w:r>
    </w:p>
    <w:p w:rsidR="00BC4851" w:rsidRDefault="00BC4851" w:rsidP="00BC4851">
      <w:pPr>
        <w:ind w:left="426" w:hanging="426"/>
        <w:rPr>
          <w:rFonts w:ascii="Arial" w:hAnsi="Arial" w:cs="Arial"/>
          <w:b/>
          <w:bCs/>
          <w:sz w:val="22"/>
          <w:szCs w:val="22"/>
        </w:rPr>
      </w:pPr>
    </w:p>
    <w:p w:rsidR="00BC4851" w:rsidRDefault="00BC4851" w:rsidP="00BC4851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2.1   </w:t>
      </w:r>
      <w:r>
        <w:rPr>
          <w:rFonts w:ascii="Arial" w:hAnsi="Arial" w:cs="Arial"/>
          <w:sz w:val="22"/>
          <w:szCs w:val="22"/>
        </w:rPr>
        <w:t>Programar e identificar las adquisiciones de bienes y/o servicios para los Servicios de Atención  Psiquiátrica y sus seis unidades dependientes.</w:t>
      </w: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Políticas de Operación, normas y lineamientos</w:t>
      </w:r>
    </w:p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Look w:val="01E0"/>
      </w:tblPr>
      <w:tblGrid>
        <w:gridCol w:w="533"/>
        <w:gridCol w:w="133"/>
        <w:gridCol w:w="7955"/>
        <w:gridCol w:w="433"/>
      </w:tblGrid>
      <w:tr w:rsidR="00BC4851" w:rsidTr="00EF5C94">
        <w:trPr>
          <w:gridAfter w:val="1"/>
          <w:wAfter w:w="473" w:type="dxa"/>
        </w:trPr>
        <w:tc>
          <w:tcPr>
            <w:tcW w:w="534" w:type="dxa"/>
          </w:tcPr>
          <w:p w:rsidR="00BC4851" w:rsidRPr="005A3611" w:rsidRDefault="00BC4851" w:rsidP="00EF5C94">
            <w:pPr>
              <w:rPr>
                <w:rFonts w:ascii="Arial" w:hAnsi="Arial" w:cs="Arial"/>
                <w:b/>
              </w:rPr>
            </w:pPr>
            <w:r w:rsidRPr="005A3611">
              <w:rPr>
                <w:rFonts w:ascii="Arial" w:hAnsi="Arial" w:cs="Arial"/>
                <w:b/>
                <w:sz w:val="22"/>
                <w:szCs w:val="22"/>
              </w:rPr>
              <w:t>3.1</w:t>
            </w:r>
          </w:p>
        </w:tc>
        <w:tc>
          <w:tcPr>
            <w:tcW w:w="8658" w:type="dxa"/>
            <w:gridSpan w:val="2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 Departamento de Adquisiciones será el responsable de consolidar todos los requerimientos de bienes y/o servicios de los Servicios de Atención Psiquiátrica y sus 6 unidades dependientes.</w:t>
            </w:r>
          </w:p>
          <w:p w:rsidR="00BC4851" w:rsidRDefault="00BC4851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C4851" w:rsidTr="00EF5C94">
        <w:trPr>
          <w:gridAfter w:val="1"/>
          <w:wAfter w:w="473" w:type="dxa"/>
        </w:trPr>
        <w:tc>
          <w:tcPr>
            <w:tcW w:w="534" w:type="dxa"/>
          </w:tcPr>
          <w:p w:rsidR="00BC4851" w:rsidRPr="005A3611" w:rsidRDefault="00BC4851" w:rsidP="00EF5C94">
            <w:pPr>
              <w:rPr>
                <w:rFonts w:ascii="Arial" w:hAnsi="Arial" w:cs="Arial"/>
                <w:b/>
              </w:rPr>
            </w:pPr>
            <w:r w:rsidRPr="005A3611">
              <w:rPr>
                <w:rFonts w:ascii="Arial" w:hAnsi="Arial" w:cs="Arial"/>
                <w:b/>
                <w:sz w:val="22"/>
                <w:szCs w:val="22"/>
              </w:rPr>
              <w:t>3.2</w:t>
            </w:r>
          </w:p>
        </w:tc>
        <w:tc>
          <w:tcPr>
            <w:tcW w:w="8658" w:type="dxa"/>
            <w:gridSpan w:val="2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 Departamento de Adquisiciones será el responsable de elaborar las bases, mismas que contendrán la información mínima señalada en la Ley de Adquisiciones, Arrendamientos y Servicios del Sector Público, y demás disposiciones aplicables.</w:t>
            </w:r>
          </w:p>
          <w:p w:rsidR="00BC4851" w:rsidRDefault="00BC4851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C4851" w:rsidTr="00EF5C94">
        <w:trPr>
          <w:gridAfter w:val="1"/>
          <w:wAfter w:w="473" w:type="dxa"/>
        </w:trPr>
        <w:tc>
          <w:tcPr>
            <w:tcW w:w="534" w:type="dxa"/>
          </w:tcPr>
          <w:p w:rsidR="00BC4851" w:rsidRPr="005A3611" w:rsidRDefault="00BC4851" w:rsidP="00EF5C94">
            <w:pPr>
              <w:rPr>
                <w:rFonts w:ascii="Arial" w:hAnsi="Arial" w:cs="Arial"/>
                <w:b/>
              </w:rPr>
            </w:pPr>
            <w:r w:rsidRPr="005A3611">
              <w:rPr>
                <w:rFonts w:ascii="Arial" w:hAnsi="Arial" w:cs="Arial"/>
                <w:b/>
                <w:sz w:val="22"/>
                <w:szCs w:val="22"/>
              </w:rPr>
              <w:t>3.3</w:t>
            </w:r>
          </w:p>
        </w:tc>
        <w:tc>
          <w:tcPr>
            <w:tcW w:w="8658" w:type="dxa"/>
            <w:gridSpan w:val="2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 Departamento de Adquisiciones será el responsable de determinar el costo de venta de bases de acuerdo con el artículo 27 del Reglamento de la Ley de Adquisiciones, Arrendamientos y Servicios del Sector Público.</w:t>
            </w:r>
          </w:p>
          <w:p w:rsidR="00BC4851" w:rsidRDefault="00BC4851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C4851" w:rsidTr="00EF5C94">
        <w:trPr>
          <w:gridAfter w:val="1"/>
          <w:wAfter w:w="473" w:type="dxa"/>
        </w:trPr>
        <w:tc>
          <w:tcPr>
            <w:tcW w:w="534" w:type="dxa"/>
          </w:tcPr>
          <w:p w:rsidR="00BC4851" w:rsidRPr="005A3611" w:rsidRDefault="00BC4851" w:rsidP="00EF5C94">
            <w:pPr>
              <w:rPr>
                <w:rFonts w:ascii="Arial" w:hAnsi="Arial" w:cs="Arial"/>
                <w:b/>
              </w:rPr>
            </w:pPr>
            <w:r w:rsidRPr="005A3611">
              <w:rPr>
                <w:rFonts w:ascii="Arial" w:hAnsi="Arial" w:cs="Arial"/>
                <w:b/>
                <w:sz w:val="22"/>
                <w:szCs w:val="22"/>
              </w:rPr>
              <w:t>3.4</w:t>
            </w:r>
          </w:p>
        </w:tc>
        <w:tc>
          <w:tcPr>
            <w:tcW w:w="8658" w:type="dxa"/>
            <w:gridSpan w:val="2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venta de bases, para el caso de licitación </w:t>
            </w:r>
            <w:r w:rsidR="006F47AD">
              <w:rPr>
                <w:rFonts w:ascii="Arial" w:hAnsi="Arial" w:cs="Arial"/>
                <w:sz w:val="22"/>
                <w:szCs w:val="22"/>
              </w:rPr>
              <w:t>pública</w:t>
            </w:r>
            <w:r>
              <w:rPr>
                <w:rFonts w:ascii="Arial" w:hAnsi="Arial" w:cs="Arial"/>
                <w:sz w:val="22"/>
                <w:szCs w:val="22"/>
              </w:rPr>
              <w:t>, iniciará a partir de la fecha de publicación de la convocatoria y hasta seis días naturales previos al acto de presentación y apertura de propuestas.</w:t>
            </w:r>
          </w:p>
          <w:p w:rsidR="00BC4851" w:rsidRDefault="00BC4851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C4851" w:rsidTr="00EF5C94">
        <w:trPr>
          <w:gridAfter w:val="1"/>
          <w:wAfter w:w="473" w:type="dxa"/>
        </w:trPr>
        <w:tc>
          <w:tcPr>
            <w:tcW w:w="534" w:type="dxa"/>
          </w:tcPr>
          <w:p w:rsidR="00BC4851" w:rsidRPr="005A3611" w:rsidRDefault="00BC4851" w:rsidP="00EF5C94">
            <w:pPr>
              <w:rPr>
                <w:rFonts w:ascii="Arial" w:hAnsi="Arial" w:cs="Arial"/>
                <w:b/>
              </w:rPr>
            </w:pPr>
            <w:r w:rsidRPr="005A3611">
              <w:rPr>
                <w:rFonts w:ascii="Arial" w:hAnsi="Arial" w:cs="Arial"/>
                <w:b/>
                <w:sz w:val="22"/>
                <w:szCs w:val="22"/>
              </w:rPr>
              <w:t>3.5</w:t>
            </w:r>
          </w:p>
        </w:tc>
        <w:tc>
          <w:tcPr>
            <w:tcW w:w="8658" w:type="dxa"/>
            <w:gridSpan w:val="2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Será requisito indispensable para participar en la licitación el pago del costo de las bases en el Departamento de Adquisiciones, o bien a través del sistema electrónico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COMPRANET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SECODAM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 En el Departamento de Adquisiciones el pago de bases deberá efectuarse mediante el formato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16, para el caso del sistema electrónico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COMPRANET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se deberá imprimir el recibo de pago que genera dicho sistema en el banco correspondiente.</w:t>
            </w:r>
          </w:p>
          <w:p w:rsidR="00BC4851" w:rsidRDefault="00BC4851" w:rsidP="00EF5C9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C4851" w:rsidTr="00EF5C94">
        <w:trPr>
          <w:gridAfter w:val="1"/>
          <w:wAfter w:w="473" w:type="dxa"/>
        </w:trPr>
        <w:tc>
          <w:tcPr>
            <w:tcW w:w="534" w:type="dxa"/>
          </w:tcPr>
          <w:p w:rsidR="00BC4851" w:rsidRPr="005A3611" w:rsidRDefault="00BC4851" w:rsidP="00EF5C94">
            <w:pPr>
              <w:rPr>
                <w:rFonts w:ascii="Arial" w:hAnsi="Arial" w:cs="Arial"/>
                <w:b/>
              </w:rPr>
            </w:pPr>
            <w:r w:rsidRPr="005A3611">
              <w:rPr>
                <w:rFonts w:ascii="Arial" w:hAnsi="Arial" w:cs="Arial"/>
                <w:b/>
                <w:sz w:val="22"/>
                <w:szCs w:val="22"/>
              </w:rPr>
              <w:t>3.6</w:t>
            </w:r>
          </w:p>
        </w:tc>
        <w:tc>
          <w:tcPr>
            <w:tcW w:w="8658" w:type="dxa"/>
            <w:gridSpan w:val="2"/>
          </w:tcPr>
          <w:p w:rsidR="00BC4851" w:rsidRDefault="00BC4851" w:rsidP="00EF5C94">
            <w:pPr>
              <w:tabs>
                <w:tab w:val="left" w:pos="32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La Dirección de Administración a través del Departamento de Adquisiciones podrá modificar las bases o la convocatoria de licitación cuando menos con seis días naturales previos a la fecha señalada para la presentación y apertura de proposiciones publicando un aviso a través del Diario Oficial de la Federación a fin de que los interesados acudan al domicilio donde se celebrarán los eventos para conocer las modificaciones o bien en el acta de aclaración de bases, para este último caso no será necesario la publicación en el Diario Oficial de la Federal.</w:t>
            </w:r>
          </w:p>
          <w:p w:rsidR="00BC4851" w:rsidRDefault="00BC4851" w:rsidP="00EF5C94">
            <w:pPr>
              <w:tabs>
                <w:tab w:val="left" w:pos="321"/>
              </w:tabs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C4851" w:rsidTr="00EF5C94">
        <w:tc>
          <w:tcPr>
            <w:tcW w:w="675" w:type="dxa"/>
            <w:gridSpan w:val="2"/>
          </w:tcPr>
          <w:p w:rsidR="00BC4851" w:rsidRPr="005A3611" w:rsidRDefault="00BC4851" w:rsidP="00EF5C94">
            <w:pPr>
              <w:rPr>
                <w:rFonts w:ascii="Arial" w:hAnsi="Arial" w:cs="Arial"/>
                <w:b/>
              </w:rPr>
            </w:pPr>
            <w:r w:rsidRPr="005A3611">
              <w:rPr>
                <w:rFonts w:ascii="Arial" w:hAnsi="Arial" w:cs="Arial"/>
                <w:b/>
                <w:sz w:val="22"/>
                <w:szCs w:val="22"/>
              </w:rPr>
              <w:lastRenderedPageBreak/>
              <w:t>3.7</w:t>
            </w:r>
          </w:p>
        </w:tc>
        <w:tc>
          <w:tcPr>
            <w:tcW w:w="8990" w:type="dxa"/>
            <w:gridSpan w:val="2"/>
          </w:tcPr>
          <w:p w:rsidR="00BC4851" w:rsidRDefault="00BC4851" w:rsidP="00EF5C94">
            <w:pPr>
              <w:ind w:left="-1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Todo incumplimiento será sancionado conforme a la Ley Federal de Responsabilidades Administrativas de los Servidores Públicos</w:t>
            </w:r>
          </w:p>
        </w:tc>
      </w:tr>
    </w:tbl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4.0  Descripción del procedimiento</w:t>
      </w: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7"/>
        <w:gridCol w:w="4322"/>
        <w:gridCol w:w="2305"/>
      </w:tblGrid>
      <w:tr w:rsidR="00BC4851" w:rsidTr="00EF5C94">
        <w:trPr>
          <w:trHeight w:val="407"/>
        </w:trPr>
        <w:tc>
          <w:tcPr>
            <w:tcW w:w="2628" w:type="dxa"/>
            <w:shd w:val="clear" w:color="auto" w:fill="D9D9D9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Secuencia de Etapas</w:t>
            </w:r>
          </w:p>
        </w:tc>
        <w:tc>
          <w:tcPr>
            <w:tcW w:w="4860" w:type="dxa"/>
            <w:shd w:val="clear" w:color="auto" w:fill="D9D9D9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Actividad</w:t>
            </w:r>
          </w:p>
        </w:tc>
        <w:tc>
          <w:tcPr>
            <w:tcW w:w="2517" w:type="dxa"/>
            <w:shd w:val="clear" w:color="auto" w:fill="D9D9D9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Responsable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1.0 Recepción de información</w:t>
            </w:r>
          </w:p>
        </w:tc>
        <w:tc>
          <w:tcPr>
            <w:tcW w:w="4860" w:type="dxa"/>
          </w:tcPr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1.1 Recibe requisiciones de cada una de las áreas dependientes de los Servicios de Atención Psiquiátrica, por capitulo, concepto y partida, además del oficio de afectación presupuestal correspondiente y el oficio que acredite el nivel de inventario en almacenes a efecto de proceder a su respectivo análisis, a efecto de determinar que bienes y /o servicios se contratarán mediante licitación pública.</w:t>
            </w:r>
          </w:p>
          <w:p w:rsidR="00BC4851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Oficios y requisiciones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Adquisiciones.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2.0 Consulta para determinar el carácter de la licitación </w:t>
            </w:r>
          </w:p>
        </w:tc>
        <w:tc>
          <w:tcPr>
            <w:tcW w:w="4860" w:type="dxa"/>
          </w:tcPr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2.1 A través del Sistema de Consultas y Orientación sobre las Reservas de Compras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SICORC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de la Secretaría de Economía, se realiza la consulta sobre inclusión o no, del procedimiento de compra a la reserva </w:t>
            </w:r>
            <w:r w:rsidRPr="005D76EF">
              <w:rPr>
                <w:rFonts w:ascii="Arial" w:hAnsi="Arial" w:cs="Arial"/>
                <w:sz w:val="22"/>
                <w:szCs w:val="22"/>
              </w:rPr>
              <w:t>permanente de los tratados de libre comercio.</w:t>
            </w:r>
          </w:p>
          <w:p w:rsidR="00BC4851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Resolución impresa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Adquisiciones.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3.0 Elaboración de bases de conformidad con la normatividad aplicable en la materia</w:t>
            </w:r>
          </w:p>
        </w:tc>
        <w:tc>
          <w:tcPr>
            <w:tcW w:w="4860" w:type="dxa"/>
          </w:tcPr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  <w:r w:rsidRPr="005D76EF">
              <w:rPr>
                <w:rFonts w:ascii="Arial" w:hAnsi="Arial" w:cs="Arial"/>
                <w:sz w:val="22"/>
                <w:szCs w:val="22"/>
              </w:rPr>
              <w:t>1 Elabora las bases para las adquisiciones de acuerdo al carácter que se haya determinado</w:t>
            </w:r>
            <w:r>
              <w:rPr>
                <w:rFonts w:ascii="Arial" w:hAnsi="Arial" w:cs="Arial"/>
                <w:sz w:val="22"/>
                <w:szCs w:val="22"/>
              </w:rPr>
              <w:t xml:space="preserve"> para el procedimiento; por concepto y partida, atendiendo la Ley de Adquisiciones, Arrendamientos y Servicios del Sector Público y demás normatividad aplicable en la materia.</w:t>
            </w:r>
          </w:p>
          <w:p w:rsidR="00BC4851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Bases de licitación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Departamento de Adquisiciones.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4.0 Emisión de oficios e integración de carpeta</w:t>
            </w:r>
          </w:p>
        </w:tc>
        <w:tc>
          <w:tcPr>
            <w:tcW w:w="4860" w:type="dxa"/>
          </w:tcPr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4.1 Convoca al Subcomité Revisor de Bases atendiendo las disposiciones del Manual de Integración y Funcionamiento del mismo Subcomité.</w:t>
            </w:r>
          </w:p>
          <w:p w:rsidR="00BC4851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Oficios y carpeta del Subcomité de bases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Dirección de Administración</w:t>
            </w:r>
          </w:p>
        </w:tc>
      </w:tr>
      <w:tr w:rsidR="00BC4851" w:rsidTr="00EF5C94">
        <w:trPr>
          <w:trHeight w:val="3998"/>
        </w:trPr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5.0 Recepción y análisis de las bases</w:t>
            </w:r>
          </w:p>
        </w:tc>
        <w:tc>
          <w:tcPr>
            <w:tcW w:w="4860" w:type="dxa"/>
          </w:tcPr>
          <w:p w:rsidR="00BC4851" w:rsidRDefault="00BC4851" w:rsidP="00EF5C94">
            <w:pPr>
              <w:pStyle w:val="Encabezado"/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5.1 Revisa bases de licitación pública nacional o internacional, a efecto de dictaminar los documentos materia del mismo, dicho dictamen podrá ser en dos sentidos:</w:t>
            </w:r>
          </w:p>
          <w:p w:rsidR="00BC4851" w:rsidRDefault="00BC4851" w:rsidP="00EF5C94">
            <w:pPr>
              <w:pStyle w:val="Encabezado"/>
              <w:ind w:left="72" w:right="7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Favorable:</w:t>
            </w:r>
          </w:p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No.- Regresa a la actividad No. 3.</w:t>
            </w:r>
          </w:p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Sí.- Genera</w:t>
            </w:r>
            <w:r>
              <w:rPr>
                <w:rFonts w:ascii="Arial" w:hAnsi="Arial" w:cs="Arial"/>
                <w:sz w:val="22"/>
                <w:szCs w:val="22"/>
              </w:rPr>
              <w:t xml:space="preserve"> documento de aprobación con las recomendaciones vertidas en el pleno por acuerdo del Subcomité y turna al Departamento de Adquisiciones a efecto de atender </w:t>
            </w:r>
            <w:r w:rsidRPr="005D76EF">
              <w:rPr>
                <w:rFonts w:ascii="Arial" w:hAnsi="Arial" w:cs="Arial"/>
                <w:sz w:val="22"/>
                <w:szCs w:val="22"/>
              </w:rPr>
              <w:t xml:space="preserve">lo establecido en el último párrafo del artículo 31 de la Ley de Adquisiciones, Arrendamientos y Servicios </w:t>
            </w:r>
            <w:r w:rsidRPr="00C031A3">
              <w:rPr>
                <w:rFonts w:ascii="Arial" w:hAnsi="Arial" w:cs="Arial"/>
                <w:sz w:val="22"/>
                <w:szCs w:val="22"/>
              </w:rPr>
              <w:t xml:space="preserve">del Sector </w:t>
            </w:r>
            <w:proofErr w:type="gramStart"/>
            <w:r w:rsidRPr="00C031A3">
              <w:rPr>
                <w:rFonts w:ascii="Arial" w:hAnsi="Arial" w:cs="Arial"/>
                <w:sz w:val="22"/>
                <w:szCs w:val="22"/>
              </w:rPr>
              <w:t>Público</w:t>
            </w:r>
            <w:r w:rsidRPr="005D76EF">
              <w:rPr>
                <w:rFonts w:ascii="Arial" w:hAnsi="Arial" w:cs="Arial"/>
                <w:sz w:val="22"/>
                <w:szCs w:val="22"/>
              </w:rPr>
              <w:t xml:space="preserve"> .</w:t>
            </w:r>
            <w:proofErr w:type="gramEnd"/>
          </w:p>
          <w:p w:rsidR="00BC4851" w:rsidRPr="00C031A3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Carpeta del Subcomité de bases</w:t>
            </w:r>
          </w:p>
        </w:tc>
        <w:tc>
          <w:tcPr>
            <w:tcW w:w="2517" w:type="dxa"/>
          </w:tcPr>
          <w:p w:rsidR="00BC4851" w:rsidRDefault="00BC4851" w:rsidP="00EF5C94">
            <w:pPr>
              <w:pStyle w:val="Ttulo2"/>
              <w:ind w:left="71" w:right="71"/>
              <w:jc w:val="center"/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</w:pPr>
          </w:p>
          <w:p w:rsidR="00BC4851" w:rsidRDefault="00BC4851" w:rsidP="00EF5C94">
            <w:pPr>
              <w:pStyle w:val="Ttulo2"/>
              <w:ind w:left="71" w:right="71"/>
              <w:jc w:val="center"/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</w:pPr>
          </w:p>
          <w:p w:rsidR="00BC4851" w:rsidRDefault="00BC4851" w:rsidP="00EF5C94">
            <w:pPr>
              <w:pStyle w:val="Ttulo2"/>
              <w:ind w:right="71"/>
              <w:jc w:val="center"/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</w:pPr>
          </w:p>
          <w:p w:rsidR="00BC4851" w:rsidRPr="005D76EF" w:rsidRDefault="00BC4851" w:rsidP="00EF5C94">
            <w:pPr>
              <w:pStyle w:val="Ttulo2"/>
              <w:ind w:right="71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5D76EF"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  <w:t>Dirección de Administración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6.0 Recepción de carpeta e integración de recomendaciones</w:t>
            </w:r>
          </w:p>
        </w:tc>
        <w:tc>
          <w:tcPr>
            <w:tcW w:w="4860" w:type="dxa"/>
          </w:tcPr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6.1 Recibe documentación aprobada por el Subcomité, atiende, si fuera el caso, los acuerdos pendientes previo a la publicación 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de</w:t>
            </w:r>
            <w:r>
              <w:rPr>
                <w:rFonts w:ascii="Arial" w:hAnsi="Arial" w:cs="Arial"/>
                <w:sz w:val="22"/>
                <w:szCs w:val="22"/>
              </w:rPr>
              <w:t xml:space="preserve"> la convocatoria.</w:t>
            </w:r>
          </w:p>
          <w:p w:rsidR="00BC4851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Carpeta del Subcomité de bases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ind w:left="71" w:right="7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7.0 Elaboración e integración de bases</w:t>
            </w:r>
          </w:p>
        </w:tc>
        <w:tc>
          <w:tcPr>
            <w:tcW w:w="4860" w:type="dxa"/>
          </w:tcPr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7.1 Integra bases de licitación pública nacional o internacional.</w:t>
            </w:r>
          </w:p>
          <w:p w:rsidR="00BC4851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Bases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jc w:val="center"/>
            </w:pPr>
            <w:r w:rsidRPr="00CD70B3"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8.0 Elaboración de convocatoria</w:t>
            </w:r>
          </w:p>
        </w:tc>
        <w:tc>
          <w:tcPr>
            <w:tcW w:w="4860" w:type="dxa"/>
          </w:tcPr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8.1 Elabora la convocatoria de la licitación acatando los requisitos del artículo 29 de la Ley de Adquisiciones, Arrendamientos y Servicios del Sector Público.</w:t>
            </w:r>
          </w:p>
          <w:p w:rsidR="00BC4851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Convocatoria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jc w:val="center"/>
            </w:pPr>
            <w:r w:rsidRPr="00CD70B3"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9.0 Envío de convocatoria y bases con anexos</w:t>
            </w:r>
          </w:p>
        </w:tc>
        <w:tc>
          <w:tcPr>
            <w:tcW w:w="4860" w:type="dxa"/>
          </w:tcPr>
          <w:p w:rsidR="00BC4851" w:rsidRDefault="00BC4851" w:rsidP="00EF5C94">
            <w:pPr>
              <w:pStyle w:val="Textodebloque"/>
              <w:rPr>
                <w:bCs w:val="0"/>
                <w:szCs w:val="22"/>
              </w:rPr>
            </w:pPr>
            <w:r>
              <w:rPr>
                <w:bCs w:val="0"/>
                <w:sz w:val="22"/>
                <w:szCs w:val="22"/>
              </w:rPr>
              <w:t xml:space="preserve">9.1 Envía la convocatoria al Diario Oficial de la Federación y las bases de la licitación pública  y anexos al sistema </w:t>
            </w:r>
            <w:proofErr w:type="spellStart"/>
            <w:r>
              <w:rPr>
                <w:bCs w:val="0"/>
                <w:sz w:val="22"/>
                <w:szCs w:val="22"/>
              </w:rPr>
              <w:t>COMPRANET</w:t>
            </w:r>
            <w:proofErr w:type="spellEnd"/>
            <w:r>
              <w:rPr>
                <w:bCs w:val="0"/>
                <w:sz w:val="22"/>
                <w:szCs w:val="22"/>
              </w:rPr>
              <w:t>, para su publicación.</w:t>
            </w:r>
          </w:p>
          <w:p w:rsidR="00BC4851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Oficio, convocatoria y bases con anexos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jc w:val="center"/>
            </w:pPr>
            <w:r w:rsidRPr="00CD70B3"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10.0 Envío de oficios de invitación</w:t>
            </w:r>
          </w:p>
        </w:tc>
        <w:tc>
          <w:tcPr>
            <w:tcW w:w="4860" w:type="dxa"/>
          </w:tcPr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10.1 Envía a las áreas el oficio de invitación a las etapas del procedimiento, adjuntando las bases respectivas.</w:t>
            </w:r>
          </w:p>
          <w:p w:rsidR="00BC4851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Oficios y bases con anexos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tabs>
                <w:tab w:val="left" w:pos="3758"/>
              </w:tabs>
              <w:ind w:left="71" w:right="7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Dirección de Administración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11.0 Periodo de venta de bases</w:t>
            </w:r>
          </w:p>
        </w:tc>
        <w:tc>
          <w:tcPr>
            <w:tcW w:w="4860" w:type="dxa"/>
          </w:tcPr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11.1 Realiza venta de bases a licitantes.</w:t>
            </w:r>
          </w:p>
          <w:p w:rsidR="00BC4851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Comprobantes de pago de bases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jc w:val="center"/>
            </w:pPr>
            <w:r w:rsidRPr="00AF350E"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12.0 Celebración de junta de aclaraciones</w:t>
            </w:r>
          </w:p>
        </w:tc>
        <w:tc>
          <w:tcPr>
            <w:tcW w:w="4860" w:type="dxa"/>
          </w:tcPr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12.1 Celebra el acto de junta de aclaraciones, verificando la no participación de proveedores </w:t>
            </w: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sancionados y formula el acta respectiva.</w:t>
            </w:r>
          </w:p>
          <w:p w:rsidR="00BC4851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Acta de junta de aclaraciones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jc w:val="center"/>
            </w:pPr>
            <w:r w:rsidRPr="00AF350E">
              <w:rPr>
                <w:rFonts w:ascii="Arial" w:hAnsi="Arial" w:cs="Arial"/>
                <w:sz w:val="22"/>
                <w:szCs w:val="22"/>
              </w:rPr>
              <w:lastRenderedPageBreak/>
              <w:t>Departamento de Adquisiciones</w:t>
            </w:r>
          </w:p>
        </w:tc>
      </w:tr>
      <w:tr w:rsidR="00BC4851" w:rsidTr="00EF5C94">
        <w:tc>
          <w:tcPr>
            <w:tcW w:w="262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13.0 Continuación del proceso licitatorio</w:t>
            </w:r>
          </w:p>
        </w:tc>
        <w:tc>
          <w:tcPr>
            <w:tcW w:w="4860" w:type="dxa"/>
          </w:tcPr>
          <w:p w:rsidR="00BC4851" w:rsidRDefault="00BC4851" w:rsidP="00EF5C94">
            <w:pPr>
              <w:ind w:left="72" w:righ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13.1 Se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continua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con todas las etapas del proceso licitatorio.</w:t>
            </w:r>
          </w:p>
          <w:p w:rsidR="00BC4851" w:rsidRPr="006F47AD" w:rsidRDefault="00BC4851" w:rsidP="00BC4851">
            <w:pPr>
              <w:numPr>
                <w:ilvl w:val="0"/>
                <w:numId w:val="1"/>
              </w:numPr>
              <w:ind w:righ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Acta de presentación y apertura de proposiciones y acta de fallo de licitación.</w:t>
            </w:r>
          </w:p>
          <w:p w:rsidR="006F47AD" w:rsidRDefault="006F47AD" w:rsidP="006F47AD">
            <w:pPr>
              <w:ind w:left="837" w:right="72"/>
              <w:jc w:val="both"/>
              <w:rPr>
                <w:rFonts w:ascii="Arial" w:hAnsi="Arial" w:cs="Arial"/>
                <w:bCs/>
              </w:rPr>
            </w:pPr>
          </w:p>
          <w:p w:rsidR="00BC4851" w:rsidRDefault="00BC4851" w:rsidP="00EF5C94">
            <w:pPr>
              <w:ind w:left="477" w:right="7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TERMINA PROCEDIMIENTO</w:t>
            </w:r>
          </w:p>
        </w:tc>
        <w:tc>
          <w:tcPr>
            <w:tcW w:w="2517" w:type="dxa"/>
            <w:vAlign w:val="center"/>
          </w:tcPr>
          <w:p w:rsidR="00BC4851" w:rsidRDefault="00BC4851" w:rsidP="00EF5C94">
            <w:pPr>
              <w:jc w:val="center"/>
            </w:pPr>
            <w:r w:rsidRPr="00AF350E"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</w:tr>
    </w:tbl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194311" w:rsidRDefault="00194311" w:rsidP="00BC4851">
      <w:pPr>
        <w:rPr>
          <w:rFonts w:ascii="Arial" w:hAnsi="Arial" w:cs="Arial"/>
          <w:b/>
          <w:bCs/>
          <w:sz w:val="22"/>
          <w:szCs w:val="22"/>
        </w:rPr>
      </w:pPr>
    </w:p>
    <w:p w:rsidR="00194311" w:rsidRDefault="00194311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5D2340" w:rsidRDefault="005D2340" w:rsidP="00BC4851">
      <w:pPr>
        <w:rPr>
          <w:rFonts w:ascii="Arial" w:hAnsi="Arial" w:cs="Arial"/>
          <w:b/>
          <w:bCs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5.0  Diagrama de Flujo:</w:t>
      </w: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7"/>
        <w:gridCol w:w="3035"/>
        <w:gridCol w:w="2894"/>
      </w:tblGrid>
      <w:tr w:rsidR="00BC4851" w:rsidTr="00EF5C94">
        <w:trPr>
          <w:cantSplit/>
          <w:trHeight w:val="542"/>
        </w:trPr>
        <w:tc>
          <w:tcPr>
            <w:tcW w:w="3300" w:type="dxa"/>
            <w:vAlign w:val="center"/>
          </w:tcPr>
          <w:p w:rsidR="00BC4851" w:rsidRPr="00BA7630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DEPARTAMENTO DE ADQUISICIONES</w:t>
            </w:r>
          </w:p>
        </w:tc>
        <w:tc>
          <w:tcPr>
            <w:tcW w:w="3300" w:type="dxa"/>
            <w:vAlign w:val="center"/>
          </w:tcPr>
          <w:p w:rsidR="00BC4851" w:rsidRPr="00BA7630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DIRECCIÓN DE ADMINISTRACIÓN</w:t>
            </w:r>
          </w:p>
        </w:tc>
        <w:tc>
          <w:tcPr>
            <w:tcW w:w="3300" w:type="dxa"/>
            <w:vAlign w:val="center"/>
          </w:tcPr>
          <w:p w:rsidR="00BC4851" w:rsidRPr="00BA7630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SUBCOMITÉ REVISOR DE BASES</w:t>
            </w:r>
          </w:p>
        </w:tc>
      </w:tr>
      <w:tr w:rsidR="00BC4851" w:rsidTr="00EF5C94">
        <w:trPr>
          <w:cantSplit/>
        </w:trPr>
        <w:tc>
          <w:tcPr>
            <w:tcW w:w="3300" w:type="dxa"/>
          </w:tcPr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oval id="_x0000_s1038" style="position:absolute;margin-left:47.05pt;margin-top:11pt;width:57.6pt;height:19.7pt;z-index:251672576;mso-position-horizontal-relative:text;mso-position-vertical-relative:text">
                  <v:textbox style="mso-next-textbox:#_x0000_s1038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</w:rPr>
                          <w:t>INICIO</w:t>
                        </w:r>
                      </w:p>
                    </w:txbxContent>
                  </v:textbox>
                </v:oval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36" style="position:absolute;flip:x;z-index:251670528" from="75.6pt,.5pt" to="75.6pt,14.9pt">
                  <v:stroke endarrow="block" endarrowwidth="narrow" endarrowlength="short"/>
                </v:lin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margin-left:91.8pt;margin-top:-.7pt;width:29.6pt;height:18pt;z-index:251674624" filled="f" stroked="f">
                  <v:textbox style="mso-next-textbox:#_x0000_s1040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39" type="#_x0000_t202" style="position:absolute;margin-left:39.85pt;margin-top:2.95pt;width:1in;height:42.35pt;z-index:251673600">
                  <v:textbox style="mso-next-textbox:#_x0000_s1039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lang w:val="es-MX"/>
                          </w:rPr>
                          <w:t>Recepción de información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37" type="#_x0000_t114" style="position:absolute;margin-left:48.6pt;margin-top:4.35pt;width:64.8pt;height:21.6pt;z-index:251671552">
                  <v:textbox style="mso-next-textbox:#_x0000_s1037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 xml:space="preserve">Oficios </w:t>
                        </w:r>
                      </w:p>
                    </w:txbxContent>
                  </v:textbox>
                </v:shap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35" type="#_x0000_t114" style="position:absolute;margin-left:50.1pt;margin-top:8.1pt;width:64.8pt;height:21.6pt;z-index:251669504">
                  <v:textbox style="mso-next-textbox:#_x0000_s1035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Requisiciones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46" type="#_x0000_t202" style="position:absolute;margin-left:39.6pt;margin-top:19.2pt;width:1in;height:42.35pt;z-index:251680768">
                  <v:textbox style="mso-next-textbox:#_x0000_s1046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lang w:val="es-MX"/>
                          </w:rPr>
                          <w:t>Consulta para determinar el carácter de la licitación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45" type="#_x0000_t114" style="position:absolute;margin-left:48.35pt;margin-top:58.55pt;width:64.8pt;height:21.6pt;z-index:251679744">
                  <v:textbox style="mso-next-textbox:#_x0000_s1045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Resolución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44" style="position:absolute;flip:x;z-index:251678720" from="75.35pt,4.1pt" to="75.35pt,18.5pt">
                  <v:stroke endarrow="block" endarrowwidth="narrow" endarrowlength="short"/>
                </v:lin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47" type="#_x0000_t202" style="position:absolute;margin-left:91.55pt;margin-top:2.9pt;width:29.6pt;height:18pt;z-index:251681792" filled="f" stroked="f">
                  <v:textbox style="mso-next-textbox:#_x0000_s1047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48" style="position:absolute;flip:x;z-index:251682816" from="75.35pt,4pt" to="75.35pt,18.4pt">
                  <v:stroke endarrow="block" endarrowwidth="narrow" endarrowlength="short"/>
                </v:lin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51" type="#_x0000_t202" style="position:absolute;margin-left:91.55pt;margin-top:2.8pt;width:29.6pt;height:18pt;z-index:251685888" filled="f" stroked="f">
                  <v:textbox style="mso-next-textbox:#_x0000_s1051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50" type="#_x0000_t202" style="position:absolute;margin-left:39.6pt;margin-top:19.1pt;width:1in;height:42.35pt;z-index:251684864">
                  <v:textbox style="mso-next-textbox:#_x0000_s1050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lang w:val="es-MX"/>
                          </w:rPr>
                          <w:t>Elaboración de bases de conformidad con la normatividad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49" type="#_x0000_t114" style="position:absolute;margin-left:48.6pt;margin-top:7.2pt;width:64.8pt;height:32.85pt;z-index:251683840">
                  <v:textbox style="mso-next-textbox:#_x0000_s1049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Bases de licitación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1" type="#_x0000_t32" style="position:absolute;margin-left:75.35pt;margin-top:2.1pt;width:.25pt;height:11pt;z-index:251737088" o:connectortype="straight"/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w:pict>
                <v:shape id="_x0000_s1102" type="#_x0000_t32" style="position:absolute;margin-left:75.35pt;margin-top:.4pt;width:85.6pt;height:0;z-index:251738112" o:connectortype="straight"/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</w:tc>
        <w:tc>
          <w:tcPr>
            <w:tcW w:w="3300" w:type="dxa"/>
          </w:tcPr>
          <w:p w:rsidR="00BC4851" w:rsidRDefault="006F47AD" w:rsidP="00EF5C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9" type="#_x0000_t32" style="position:absolute;margin-left:10.1pt;margin-top:291.35pt;width:59.9pt;height:0;z-index:251754496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8" type="#_x0000_t32" style="position:absolute;margin-left:10.1pt;margin-top:291.35pt;width:0;height:26.4pt;flip:y;z-index:251753472;mso-position-horizontal-relative:text;mso-position-vertical-relative:text" o:connectortype="straight"/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076" type="#_x0000_t177" style="position:absolute;margin-left:70pt;margin-top:407.65pt;width:18pt;height:18pt;z-index:251711488;mso-position-horizontal-relative:text;mso-position-vertical-relative:text">
                  <v:textbox style="mso-next-textbox:#_x0000_s1076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75" style="position:absolute;z-index:251710464;mso-position-horizontal-relative:text;mso-position-vertical-relative:text" from="78.9pt,387.75pt" to="78.9pt,405.65pt">
                  <v:stroke endarrow="block" endarrowwidth="narrow" endarrowlength="short"/>
                </v:lin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41" type="#_x0000_t114" style="position:absolute;margin-left:52.8pt;margin-top:356.4pt;width:64.8pt;height:28.8pt;z-index:251675648;mso-position-horizontal-relative:text;mso-position-vertical-relative:text">
                  <v:textbox style="mso-next-textbox:#_x0000_s1041">
                    <w:txbxContent>
                      <w:p w:rsidR="00BC4851" w:rsidRDefault="00BC4851" w:rsidP="00BC4851">
                        <w:pPr>
                          <w:rPr>
                            <w:rFonts w:ascii="Arial" w:hAnsi="Arial"/>
                            <w:sz w:val="14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</w:rPr>
                          <w:t>Oficios</w:t>
                        </w:r>
                      </w:p>
                    </w:txbxContent>
                  </v:textbox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34" type="#_x0000_t114" style="position:absolute;margin-left:57pt;margin-top:336pt;width:64.8pt;height:28.8pt;z-index:251668480;mso-position-horizontal-relative:text;mso-position-vertical-relative:text">
                  <v:textbox style="mso-next-textbox:#_x0000_s1034">
                    <w:txbxContent>
                      <w:p w:rsidR="00BC4851" w:rsidRDefault="00BC4851" w:rsidP="00BC4851">
                        <w:pPr>
                          <w:rPr>
                            <w:rFonts w:ascii="Arial" w:hAnsi="Arial"/>
                            <w:sz w:val="14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</w:rPr>
                          <w:t>Carpeta</w:t>
                        </w:r>
                      </w:p>
                    </w:txbxContent>
                  </v:textbox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03" type="#_x0000_t32" style="position:absolute;margin-left:70pt;margin-top:291.35pt;width:0;height:13.8pt;z-index:251739136;mso-position-horizontal-relative:text;mso-position-vertical-relative:text" o:connectortype="straight">
                  <v:stroke endarrow="block"/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42" type="#_x0000_t202" style="position:absolute;margin-left:88pt;margin-top:287.15pt;width:29.6pt;height:18pt;z-index:251676672;mso-position-horizontal-relative:text;mso-position-vertical-relative:text" filled="f" stroked="f">
                  <v:textbox style="mso-next-textbox:#_x0000_s1042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43" type="#_x0000_t202" style="position:absolute;margin-left:40.2pt;margin-top:305.15pt;width:64.8pt;height:38.4pt;z-index:251677696;mso-position-horizontal-relative:text;mso-position-vertical-relative:text">
                  <v:textbox style="mso-next-textbox:#_x0000_s1043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</w:rPr>
                          <w:t xml:space="preserve">Emisión de oficios e integración de carpeta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300" w:type="dxa"/>
          </w:tcPr>
          <w:p w:rsidR="00BC4851" w:rsidRDefault="00BC4851" w:rsidP="00EF5C94">
            <w:pPr>
              <w:rPr>
                <w:rFonts w:ascii="Arial" w:hAnsi="Arial" w:cs="Arial"/>
              </w:rPr>
            </w:pPr>
          </w:p>
        </w:tc>
      </w:tr>
    </w:tbl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7"/>
        <w:gridCol w:w="3035"/>
        <w:gridCol w:w="2894"/>
      </w:tblGrid>
      <w:tr w:rsidR="00BC4851" w:rsidTr="00EF5C94">
        <w:trPr>
          <w:cantSplit/>
        </w:trPr>
        <w:tc>
          <w:tcPr>
            <w:tcW w:w="3300" w:type="dxa"/>
            <w:vAlign w:val="center"/>
          </w:tcPr>
          <w:p w:rsidR="00BC4851" w:rsidRPr="00BA7630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lastRenderedPageBreak/>
              <w:t>DEPARTAMENTO DE ADQUISICIONES</w:t>
            </w:r>
          </w:p>
        </w:tc>
        <w:tc>
          <w:tcPr>
            <w:tcW w:w="3300" w:type="dxa"/>
            <w:vAlign w:val="center"/>
          </w:tcPr>
          <w:p w:rsidR="00BC4851" w:rsidRPr="00BA7630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DIRECCIÓN DE ADMINISTRACIÓN</w:t>
            </w:r>
          </w:p>
        </w:tc>
        <w:tc>
          <w:tcPr>
            <w:tcW w:w="3300" w:type="dxa"/>
            <w:vAlign w:val="center"/>
          </w:tcPr>
          <w:p w:rsidR="00BC4851" w:rsidRPr="00BA7630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SUBCOMITÉ REVISOR DE BASES</w:t>
            </w:r>
          </w:p>
        </w:tc>
      </w:tr>
      <w:tr w:rsidR="00BC4851" w:rsidTr="00194311">
        <w:trPr>
          <w:cantSplit/>
          <w:trHeight w:val="11716"/>
        </w:trPr>
        <w:tc>
          <w:tcPr>
            <w:tcW w:w="3300" w:type="dxa"/>
          </w:tcPr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6F47AD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06" type="#_x0000_t32" style="position:absolute;margin-left:129.65pt;margin-top:9pt;width:.05pt;height:60.9pt;flip:y;z-index:251742208" o:connectortype="straight"/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07" type="#_x0000_t32" style="position:absolute;margin-left:75.35pt;margin-top:9pt;width:52.8pt;height:.05pt;flip:x;z-index:251743232" o:connectortype="straight"/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08" type="#_x0000_t32" style="position:absolute;margin-left:75.35pt;margin-top:9pt;width:0;height:18pt;z-index:251744256" o:connectortype="straight">
                  <v:stroke endarrow="block"/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55" type="#_x0000_t202" style="position:absolute;margin-left:91.55pt;margin-top:9pt;width:29.6pt;height:18pt;z-index:251689984" filled="f" stroked="f">
                  <v:textbox style="mso-next-textbox:#_x0000_s1055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54" type="#_x0000_t202" style="position:absolute;margin-left:35.15pt;margin-top:1.75pt;width:1in;height:42.35pt;z-index:251688960">
                  <v:textbox style="mso-next-textbox:#_x0000_s1054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lang w:val="es-MX"/>
                          </w:rPr>
                          <w:t>Recepción de carpeta e integración de recomendaciones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05" type="#_x0000_t32" style="position:absolute;margin-left:127.05pt;margin-top:.95pt;width:263.15pt;height:.05pt;flip:x;z-index:251741184" o:connectortype="straight"/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53" type="#_x0000_t114" style="position:absolute;margin-left:50.1pt;margin-top:1.6pt;width:64.8pt;height:31.35pt;z-index:251687936">
                  <v:textbox style="mso-next-textbox:#_x0000_s1053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Carpeta</w:t>
                        </w:r>
                      </w:p>
                    </w:txbxContent>
                  </v:textbox>
                </v:shap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52" type="#_x0000_t114" style="position:absolute;margin-left:47.05pt;margin-top:11.95pt;width:64.8pt;height:30.6pt;z-index:251686912">
                  <v:textbox style="mso-next-textbox:#_x0000_s1052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2"/>
                            <w:lang w:val="es-MX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2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2"/>
                            <w:lang w:val="es-MX"/>
                          </w:rPr>
                          <w:t>Recomendación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59" type="#_x0000_t202" style="position:absolute;margin-left:91.55pt;margin-top:4.6pt;width:29.6pt;height:18pt;z-index:251694080" filled="f" stroked="f">
                  <v:textbox style="mso-next-textbox:#_x0000_s1059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56" style="position:absolute;flip:x;z-index:251691008" from="75.35pt,8.2pt" to="75.35pt,22.6pt">
                  <v:stroke endarrow="block" endarrowwidth="narrow" endarrowlength="short"/>
                </v:lin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58" type="#_x0000_t202" style="position:absolute;margin-left:35.15pt;margin-top:10.85pt;width:1in;height:42.35pt;z-index:251693056">
                  <v:textbox style="mso-next-textbox:#_x0000_s1058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lang w:val="es-MX"/>
                          </w:rPr>
                          <w:t>Elaboración e integración de Bases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57" type="#_x0000_t114" style="position:absolute;margin-left:47.05pt;margin-top:8.15pt;width:64.8pt;height:31.65pt;z-index:251692032">
                  <v:textbox style="mso-next-textbox:#_x0000_s1057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Bases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60" style="position:absolute;flip:x;z-index:251695104" from="75.35pt,5.85pt" to="75.35pt,20.25pt">
                  <v:stroke endarrow="block" endarrowwidth="narrow" endarrowlength="short"/>
                </v:lin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63" type="#_x0000_t202" style="position:absolute;margin-left:91.8pt;margin-top:1.85pt;width:29.6pt;height:18pt;z-index:251698176" filled="f" stroked="f">
                  <v:textbox style="mso-next-textbox:#_x0000_s1063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62" type="#_x0000_t202" style="position:absolute;margin-left:39.6pt;margin-top:7.2pt;width:1in;height:42.35pt;z-index:251697152">
                  <v:textbox style="mso-next-textbox:#_x0000_s1062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lang w:val="es-MX"/>
                          </w:rPr>
                          <w:t>Elaboración de convocatoria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61" type="#_x0000_t114" style="position:absolute;margin-left:50.1pt;margin-top:6.75pt;width:64.8pt;height:32.85pt;z-index:251696128">
                  <v:textbox style="mso-next-textbox:#_x0000_s1061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Convocatoria</w:t>
                        </w:r>
                      </w:p>
                    </w:txbxContent>
                  </v:textbox>
                </v:shap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30" style="position:absolute;z-index:251664384" from="75.35pt,26.95pt" to="75.35pt,53.95pt">
                  <v:stroke endarrow="block" endarrowwidth="narrow" endarrowlength="short"/>
                </v:lin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31" type="#_x0000_t177" style="position:absolute;margin-left:66.85pt;margin-top:53.95pt;width:18pt;height:18pt;z-index:251665408">
                  <v:textbox style="mso-next-textbox:#_x0000_s1031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300" w:type="dxa"/>
          </w:tcPr>
          <w:p w:rsidR="00BC4851" w:rsidRDefault="00BC4851" w:rsidP="00EF5C94">
            <w:pPr>
              <w:rPr>
                <w:rFonts w:ascii="Arial" w:hAnsi="Arial" w:cs="Arial"/>
              </w:rPr>
            </w:pPr>
          </w:p>
        </w:tc>
        <w:tc>
          <w:tcPr>
            <w:tcW w:w="3300" w:type="dxa"/>
          </w:tcPr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04" type="#_x0000_t32" style="position:absolute;margin-left:87.6pt;margin-top:279.65pt;width:0;height:12.85pt;z-index:251740160;mso-position-horizontal-relative:text;mso-position-vertical-relative:text" o:connectortype="straight"/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64" type="#_x0000_t114" style="position:absolute;margin-left:59.25pt;margin-top:250.85pt;width:64.6pt;height:28.8pt;z-index:251699200;mso-position-horizontal-relative:text;mso-position-vertical-relative:text">
                  <v:textbox style="mso-next-textbox:#_x0000_s1064">
                    <w:txbxContent>
                      <w:p w:rsidR="00BC4851" w:rsidRDefault="00BC4851" w:rsidP="00BC4851">
                        <w:pPr>
                          <w:ind w:left="-180" w:right="-90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</w:p>
                      <w:p w:rsidR="00BC4851" w:rsidRDefault="00BC4851" w:rsidP="00BC4851">
                        <w:pPr>
                          <w:ind w:left="-180" w:right="-90"/>
                          <w:jc w:val="center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Recomendación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69" type="#_x0000_t202" style="position:absolute;margin-left:44.9pt;margin-top:198.3pt;width:1in;height:45.35pt;z-index:251704320;mso-position-horizontal-relative:text;mso-position-vertical-relative:text">
                  <v:textbox style="mso-next-textbox:#_x0000_s1069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Genera aprobación con recomendaciones y turna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66" style="position:absolute;margin-left:91.55pt;margin-top:151.55pt;width:32.6pt;height:20.85pt;z-index:251701248;mso-position-horizontal:absolute;mso-position-horizontal-relative:text;mso-position-vertical:absolute;mso-position-vertical-relative:text" coordsize="1152,236" path="m,l1146,r6,236e" filled="f">
                  <v:stroke endarrow="block" endarrowwidth="narrow" endarrowlength="short"/>
                  <v:path arrowok="t"/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32" style="position:absolute;z-index:251666432;mso-position-horizontal-relative:text;mso-position-vertical-relative:text" from="78.7pt,105.3pt" to="78.7pt,126.9pt">
                  <v:stroke endarrow="block" endarrowwidth="narrow" endarrowlength="short"/>
                </v:lin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65" type="#_x0000_t114" style="position:absolute;margin-left:56.3pt;margin-top:233.3pt;width:64.8pt;height:28.8pt;z-index:251700224;mso-position-horizontal-relative:text;mso-position-vertical-relative:text">
                  <v:textbox style="mso-next-textbox:#_x0000_s1065">
                    <w:txbxContent>
                      <w:p w:rsidR="00BC4851" w:rsidRDefault="00BC4851" w:rsidP="00BC4851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Carpeta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74" type="#_x0000_t120" style="position:absolute;margin-left:112.3pt;margin-top:171.9pt;width:21.6pt;height:21.6pt;z-index:251709440;mso-position-horizontal-relative:text;mso-position-vertical-relative:text">
                  <v:textbox style="mso-next-textbox:#_x0000_s1074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73" type="#_x0000_t202" style="position:absolute;margin-left:107.75pt;margin-top:135.65pt;width:33.85pt;height:18pt;z-index:251708416;mso-position-horizontal-relative:text;mso-position-vertical-relative:text" filled="f" stroked="f">
                  <v:textbox style="mso-next-textbox:#_x0000_s1073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No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72" type="#_x0000_t202" style="position:absolute;margin-left:37.95pt;margin-top:179.15pt;width:33.85pt;height:18pt;z-index:251707392;mso-position-horizontal-relative:text;mso-position-vertical-relative:text" filled="f" stroked="f">
                  <v:textbox style="mso-next-textbox:#_x0000_s1072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Si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71" type="#_x0000_t110" style="position:absolute;margin-left:40.55pt;margin-top:126.2pt;width:74.05pt;height:50.4pt;z-index:251706368;mso-position-horizontal-relative:text;mso-position-vertical-relative:text">
                  <v:textbox style="mso-next-textbox:#_x0000_s1071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70" style="position:absolute;flip:x;z-index:251705344;mso-position-horizontal-relative:text;mso-position-vertical-relative:text" from="77.6pt,161.6pt" to="77.6pt,197.6pt">
                  <v:stroke endarrow="block" endarrowwidth="narrow" endarrowlength="short"/>
                </v:lin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33" type="#_x0000_t114" style="position:absolute;margin-left:51.6pt;margin-top:84.3pt;width:64.8pt;height:21.6pt;z-index:251667456;mso-position-horizontal-relative:text;mso-position-vertical-relative:text">
                  <v:textbox style="mso-next-textbox:#_x0000_s1033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Carpeta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68" type="#_x0000_t202" style="position:absolute;margin-left:91.5pt;margin-top:25.8pt;width:29.6pt;height:18pt;z-index:251703296;mso-position-horizontal-relative:text;mso-position-vertical-relative:text" filled="f" stroked="f">
                  <v:textbox style="mso-next-textbox:#_x0000_s1068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67" type="#_x0000_t202" style="position:absolute;margin-left:40.4pt;margin-top:42.65pt;width:1in;height:45.35pt;z-index:251702272;mso-position-horizontal-relative:text;mso-position-vertical-relative:text">
                  <v:textbox style="mso-next-textbox:#_x0000_s1067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MX"/>
                          </w:rPr>
                          <w:t>Recepción y análisis de bases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77" type="#_x0000_t177" style="position:absolute;margin-left:69.6pt;margin-top:9.3pt;width:18pt;height:18pt;z-index:251712512;mso-position-horizontal-relative:text;mso-position-vertical-relative:text">
                  <v:textbox style="mso-next-textbox:#_x0000_s1077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78" style="position:absolute;flip:x;z-index:251713536;mso-position-horizontal-relative:text;mso-position-vertical-relative:text" from="78.85pt,28.4pt" to="78.85pt,42.8pt">
                  <v:stroke endarrow="block" endarrowwidth="narrow" endarrowlength="short"/>
                </v:line>
              </w:pict>
            </w:r>
          </w:p>
        </w:tc>
      </w:tr>
    </w:tbl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7"/>
        <w:gridCol w:w="3035"/>
        <w:gridCol w:w="2894"/>
      </w:tblGrid>
      <w:tr w:rsidR="00BC4851" w:rsidTr="005D2340">
        <w:trPr>
          <w:cantSplit/>
        </w:trPr>
        <w:tc>
          <w:tcPr>
            <w:tcW w:w="3017" w:type="dxa"/>
            <w:vAlign w:val="center"/>
          </w:tcPr>
          <w:p w:rsidR="00BC4851" w:rsidRPr="00BA7630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  <w:r w:rsidRPr="00BA7630">
              <w:rPr>
                <w:rFonts w:ascii="Arial" w:hAnsi="Arial" w:cs="Arial"/>
                <w:b/>
                <w:sz w:val="22"/>
                <w:szCs w:val="22"/>
              </w:rPr>
              <w:t>DEPARTAMENTO DE ADQUISICIONES</w:t>
            </w:r>
          </w:p>
        </w:tc>
        <w:tc>
          <w:tcPr>
            <w:tcW w:w="3035" w:type="dxa"/>
            <w:vAlign w:val="center"/>
          </w:tcPr>
          <w:p w:rsidR="00BC4851" w:rsidRPr="00BA7630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DIRECCIÓN DE ADMINISTRACIÓN</w:t>
            </w:r>
          </w:p>
        </w:tc>
        <w:tc>
          <w:tcPr>
            <w:tcW w:w="2894" w:type="dxa"/>
            <w:vAlign w:val="center"/>
          </w:tcPr>
          <w:p w:rsidR="00BC4851" w:rsidRPr="00BA7630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SUBCOMITÉ REVISOR DE BASES</w:t>
            </w:r>
          </w:p>
        </w:tc>
      </w:tr>
      <w:tr w:rsidR="00BC4851" w:rsidTr="00194311">
        <w:trPr>
          <w:cantSplit/>
          <w:trHeight w:val="11478"/>
        </w:trPr>
        <w:tc>
          <w:tcPr>
            <w:tcW w:w="3017" w:type="dxa"/>
          </w:tcPr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87" type="#_x0000_t177" style="position:absolute;margin-left:66.6pt;margin-top:6.65pt;width:18pt;height:18pt;z-index:251722752;mso-position-horizontal-relative:text;mso-position-vertical-relative:text">
                  <v:textbox style="mso-next-textbox:#_x0000_s1087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92" type="#_x0000_t202" style="position:absolute;margin-left:91.55pt;margin-top:.5pt;width:29.6pt;height:18pt;z-index:251727872" filled="f" stroked="f">
                  <v:textbox style="mso-next-textbox:#_x0000_s1092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88" style="position:absolute;flip:x;z-index:251723776" from="75.85pt,.45pt" to="75.85pt,14.85pt">
                  <v:stroke endarrow="block" endarrowwidth="narrow" endarrowlength="short"/>
                </v:lin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89" type="#_x0000_t114" style="position:absolute;margin-left:49.85pt;margin-top:57.85pt;width:64.8pt;height:21.6pt;z-index:251724800">
                  <v:textbox style="mso-next-textbox:#_x0000_s1089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Convocatoria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91" type="#_x0000_t202" style="position:absolute;margin-left:39.6pt;margin-top:2.1pt;width:1in;height:42.35pt;z-index:251726848">
                  <v:textbox style="mso-next-textbox:#_x0000_s1091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lang w:val="es-MX"/>
                          </w:rPr>
                          <w:t>Envío de convocatoria y Bases con anexos</w:t>
                        </w:r>
                      </w:p>
                    </w:txbxContent>
                  </v:textbox>
                </v:shap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90" type="#_x0000_t114" style="position:absolute;margin-left:48.35pt;margin-top:41.45pt;width:64.8pt;height:21.6pt;z-index:251725824">
                  <v:textbox style="mso-next-textbox:#_x0000_s1090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29" type="#_x0000_t114" style="position:absolute;margin-left:51.85pt;margin-top:-.9pt;width:64.8pt;height:21.6pt;z-index:251663360">
                  <v:textbox style="mso-next-textbox:#_x0000_s1029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Bases</w:t>
                        </w:r>
                      </w:p>
                    </w:txbxContent>
                  </v:textbox>
                </v:shap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w:pict>
                <v:shape id="_x0000_s1112" type="#_x0000_t32" style="position:absolute;margin-left:77.35pt;margin-top:8.05pt;width:0;height:11.05pt;z-index:251748352" o:connectortype="straight"/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w:pict>
                <v:shape id="_x0000_s1113" type="#_x0000_t32" style="position:absolute;margin-left:77.35pt;margin-top:6.45pt;width:99.15pt;height:0;z-index:251749376" o:connectortype="straight"/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w:pict>
                <v:shape id="_x0000_s1110" type="#_x0000_t32" style="position:absolute;margin-left:75.85pt;margin-top:8.55pt;width:163.25pt;height:.05pt;flip:x;z-index:251746304" o:connectortype="straight"/>
              </w:pict>
            </w:r>
            <w:r w:rsidRPr="00CB25A9"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w:pict>
                <v:shape id="_x0000_s1111" type="#_x0000_t32" style="position:absolute;margin-left:75.85pt;margin-top:8.6pt;width:.05pt;height:25.5pt;z-index:251747328" o:connectortype="straight">
                  <v:stroke endarrow="block"/>
                </v:shap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81" type="#_x0000_t202" style="position:absolute;margin-left:91.8pt;margin-top:6.05pt;width:29.6pt;height:18pt;z-index:251716608" filled="f" stroked="f">
                  <v:textbox style="mso-next-textbox:#_x0000_s1081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80" type="#_x0000_t202" style="position:absolute;margin-left:38.35pt;margin-top:8.9pt;width:1in;height:42.35pt;z-index:251715584">
                  <v:textbox style="mso-next-textbox:#_x0000_s1080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lang w:val="es-MX"/>
                          </w:rPr>
                          <w:t>Celebración de Junta de Aclaraciones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79" type="#_x0000_t114" style="position:absolute;margin-left:51.85pt;margin-top:11.4pt;width:64.8pt;height:33.95pt;z-index:251714560">
                  <v:textbox style="mso-next-textbox:#_x0000_s1079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Acta Junta de Aclaraciones</w:t>
                        </w: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82" style="position:absolute;flip:x;z-index:251717632" from="77.35pt,7.4pt" to="77.35pt,35.35pt">
                  <v:stroke endarrow="block" endarrowwidth="narrow" endarrowlength="short"/>
                </v:lin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85" type="#_x0000_t202" style="position:absolute;margin-left:96.6pt;margin-top:4.7pt;width:29.6pt;height:18pt;z-index:251720704" filled="f" stroked="f">
                  <v:textbox style="mso-next-textbox:#_x0000_s1085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84" type="#_x0000_t202" style="position:absolute;margin-left:42.8pt;margin-top:10.05pt;width:1in;height:42.35pt;z-index:251719680">
                  <v:textbox style="mso-next-textbox:#_x0000_s1084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lang w:val="es-MX"/>
                          </w:rPr>
                          <w:t>Continuación del proceso licitatorio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83" type="#_x0000_t114" style="position:absolute;margin-left:56.6pt;margin-top:.3pt;width:64.8pt;height:34.35pt;z-index:251718656">
                  <v:textbox style="mso-next-textbox:#_x0000_s1083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Acta Apertura Técnica</w:t>
                        </w:r>
                      </w:p>
                    </w:txbxContent>
                  </v:textbox>
                </v:shap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27" type="#_x0000_t114" style="position:absolute;margin-left:51.85pt;margin-top:9.4pt;width:64.8pt;height:35.8pt;z-index:251661312">
                  <v:textbox style="mso-next-textbox:#_x0000_s1027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Acta Apertura Económica</w:t>
                        </w:r>
                      </w:p>
                    </w:txbxContent>
                  </v:textbox>
                </v:shape>
              </w:pict>
            </w:r>
          </w:p>
          <w:p w:rsidR="00BC4851" w:rsidRDefault="00BC4851" w:rsidP="00EF5C94">
            <w:pPr>
              <w:rPr>
                <w:rFonts w:ascii="Arial" w:hAnsi="Arial" w:cs="Arial"/>
              </w:rPr>
            </w:pPr>
          </w:p>
          <w:p w:rsidR="005D2340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26" type="#_x0000_t114" style="position:absolute;margin-left:47.05pt;margin-top:11.15pt;width:64.8pt;height:35.8pt;z-index:251660288">
                  <v:textbox style="mso-next-textbox:#_x0000_s1026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Acta Fallo Económico</w:t>
                        </w:r>
                      </w:p>
                    </w:txbxContent>
                  </v:textbox>
                </v:shape>
              </w:pict>
            </w:r>
          </w:p>
          <w:p w:rsidR="00BC4851" w:rsidRDefault="00CB25A9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86" style="position:absolute;flip:x;z-index:251721728" from="77.35pt,34.3pt" to="77.35pt,48.7pt">
                  <v:stroke endarrow="block" endarrowwidth="narrow" endarrowlength="short"/>
                </v:line>
              </w:pict>
            </w:r>
            <w:r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100" type="#_x0000_t116" style="position:absolute;margin-left:51.85pt;margin-top:48.7pt;width:54pt;height:18pt;z-index:251736064">
                  <v:textbox style="mso-next-textbox:#_x0000_s1100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Término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035" w:type="dxa"/>
          </w:tcPr>
          <w:p w:rsidR="00BC4851" w:rsidRDefault="006F47AD" w:rsidP="00EF5C94">
            <w:pPr>
              <w:rPr>
                <w:rFonts w:ascii="Arial" w:hAnsi="Arial" w:cs="Arial"/>
              </w:rPr>
            </w:pPr>
            <w:r w:rsidRPr="00CB25A9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4" type="#_x0000_t32" style="position:absolute;margin-left:25.65pt;margin-top:71.75pt;width:.05pt;height:86.5pt;flip:y;z-index:251750400;mso-position-horizontal-relative:text;mso-position-vertical-relative:text" o:connectortype="straight"/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6" type="#_x0000_t32" style="position:absolute;margin-left:88.2pt;margin-top:71.75pt;width:0;height:20.7pt;z-index:251752448;mso-position-horizontal-relative:text;mso-position-vertical-relative:text" o:connectortype="straight">
                  <v:stroke endarrow="block"/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15" type="#_x0000_t32" style="position:absolute;margin-left:25.65pt;margin-top:71.75pt;width:62.6pt;height:0;z-index:251751424;mso-position-horizontal-relative:text;mso-position-vertical-relative:text" o:connectortype="straight"/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95" type="#_x0000_t202" style="position:absolute;margin-left:100pt;margin-top:76.8pt;width:29.6pt;height:18pt;z-index:251730944;mso-position-horizontal-relative:text;mso-position-vertical-relative:text" filled="f" stroked="f">
                  <v:textbox style="mso-next-textbox:#_x0000_s1095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10</w:t>
                        </w:r>
                      </w:p>
                    </w:txbxContent>
                  </v:textbox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96" type="#_x0000_t202" style="position:absolute;margin-left:57.45pt;margin-top:92.45pt;width:64.8pt;height:38.4pt;z-index:251731968;mso-position-horizontal-relative:text;mso-position-vertical-relative:text">
                  <v:textbox style="mso-next-textbox:#_x0000_s1096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ES_tradnl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ES_tradnl"/>
                          </w:rPr>
                          <w:t xml:space="preserve">Envío de oficios de invitación </w:t>
                        </w:r>
                      </w:p>
                    </w:txbxContent>
                  </v:textbox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94" type="#_x0000_t114" style="position:absolute;margin-left:55.2pt;margin-top:125.3pt;width:64.8pt;height:28.8pt;z-index:251729920;mso-position-horizontal-relative:text;mso-position-vertical-relative:text">
                  <v:textbox style="mso-next-textbox:#_x0000_s1094">
                    <w:txbxContent>
                      <w:p w:rsidR="00BC4851" w:rsidRDefault="00BC4851" w:rsidP="00BC4851">
                        <w:pPr>
                          <w:rPr>
                            <w:rFonts w:ascii="Arial" w:hAnsi="Arial"/>
                            <w:sz w:val="14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</w:rPr>
                          <w:t>Oficios</w:t>
                        </w:r>
                      </w:p>
                    </w:txbxContent>
                  </v:textbox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93" type="#_x0000_t114" style="position:absolute;margin-left:60.6pt;margin-top:145.6pt;width:64.8pt;height:28.8pt;z-index:251728896;mso-position-horizontal-relative:text;mso-position-vertical-relative:text">
                  <v:textbox style="mso-next-textbox:#_x0000_s1093">
                    <w:txbxContent>
                      <w:p w:rsidR="00BC4851" w:rsidRDefault="00BC4851" w:rsidP="00BC4851">
                        <w:pPr>
                          <w:rPr>
                            <w:rFonts w:ascii="Arial" w:hAnsi="Arial"/>
                            <w:sz w:val="14"/>
                          </w:rPr>
                        </w:pPr>
                      </w:p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</w:rPr>
                          <w:t>Bases</w:t>
                        </w:r>
                      </w:p>
                    </w:txbxContent>
                  </v:textbox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98" type="#_x0000_t202" style="position:absolute;margin-left:100.15pt;margin-top:178.05pt;width:29.6pt;height:18pt;z-index:251734016;mso-position-horizontal-relative:text;mso-position-vertical-relative:text" filled="f" stroked="f">
                  <v:textbox style="mso-next-textbox:#_x0000_s1098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MX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MX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line id="_x0000_s1028" style="position:absolute;z-index:251662336;mso-position-horizontal-relative:text;mso-position-vertical-relative:text" from="84.6pt,175.6pt" to="84.6pt,193.5pt">
                  <v:stroke endarrow="block" endarrowwidth="narrow" endarrowlength="short"/>
                </v:lin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99" type="#_x0000_t202" style="position:absolute;margin-left:52.35pt;margin-top:193.7pt;width:64.8pt;height:38.4pt;z-index:251735040;mso-position-horizontal-relative:text;mso-position-vertical-relative:text">
                  <v:textbox style="mso-next-textbox:#_x0000_s1099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  <w:lang w:val="es-ES_tradnl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  <w:lang w:val="es-ES_tradnl"/>
                          </w:rPr>
                          <w:t xml:space="preserve">Venta de Bases </w:t>
                        </w:r>
                      </w:p>
                    </w:txbxContent>
                  </v:textbox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n-US" w:eastAsia="en-US"/>
              </w:rPr>
              <w:pict>
                <v:shape id="_x0000_s1097" type="#_x0000_t114" style="position:absolute;margin-left:59.85pt;margin-top:230.25pt;width:64.8pt;height:28.8pt;z-index:251732992;mso-position-horizontal-relative:text;mso-position-vertical-relative:text">
                  <v:textbox style="mso-next-textbox:#_x0000_s1097">
                    <w:txbxContent>
                      <w:p w:rsidR="00BC4851" w:rsidRDefault="00BC4851" w:rsidP="00BC4851">
                        <w:pPr>
                          <w:jc w:val="center"/>
                          <w:rPr>
                            <w:rFonts w:ascii="Arial" w:hAnsi="Arial"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sz w:val="14"/>
                          </w:rPr>
                          <w:t>Comprobantes de pago</w:t>
                        </w:r>
                      </w:p>
                    </w:txbxContent>
                  </v:textbox>
                </v:shape>
              </w:pict>
            </w:r>
            <w:r w:rsidR="00CB25A9" w:rsidRPr="00CB25A9">
              <w:rPr>
                <w:rFonts w:ascii="Arial" w:hAnsi="Arial" w:cs="Arial"/>
                <w:noProof/>
                <w:sz w:val="20"/>
                <w:szCs w:val="22"/>
                <w:lang w:val="es-MX" w:eastAsia="es-MX"/>
              </w:rPr>
              <w:pict>
                <v:shape id="_x0000_s1109" type="#_x0000_t32" style="position:absolute;margin-left:88.2pt;margin-top:260.75pt;width:.05pt;height:12.75pt;z-index:251745280;mso-position-horizontal-relative:text;mso-position-vertical-relative:text" o:connectortype="straight"/>
              </w:pict>
            </w:r>
          </w:p>
        </w:tc>
        <w:tc>
          <w:tcPr>
            <w:tcW w:w="2894" w:type="dxa"/>
          </w:tcPr>
          <w:p w:rsidR="00BC4851" w:rsidRDefault="00BC4851" w:rsidP="00EF5C94">
            <w:pPr>
              <w:rPr>
                <w:rFonts w:ascii="Arial" w:hAnsi="Arial" w:cs="Arial"/>
              </w:rPr>
            </w:pPr>
          </w:p>
        </w:tc>
      </w:tr>
    </w:tbl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6.0  Documentos de Referencia</w:t>
      </w: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1"/>
        <w:gridCol w:w="2943"/>
      </w:tblGrid>
      <w:tr w:rsidR="00BC4851" w:rsidTr="005D2340">
        <w:trPr>
          <w:trHeight w:val="487"/>
        </w:trPr>
        <w:tc>
          <w:tcPr>
            <w:tcW w:w="6768" w:type="dxa"/>
            <w:shd w:val="pct25" w:color="auto" w:fill="auto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237" w:type="dxa"/>
            <w:shd w:val="pct25" w:color="auto" w:fill="auto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Código (cuando aplique)</w:t>
            </w:r>
          </w:p>
        </w:tc>
      </w:tr>
      <w:tr w:rsidR="00BC4851" w:rsidTr="00EF5C94">
        <w:tc>
          <w:tcPr>
            <w:tcW w:w="676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Ley de Adquisiciones, Arrendamientos y Servicios del Sector Público</w:t>
            </w:r>
          </w:p>
        </w:tc>
        <w:tc>
          <w:tcPr>
            <w:tcW w:w="3237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BC4851" w:rsidTr="00EF5C94">
        <w:tc>
          <w:tcPr>
            <w:tcW w:w="676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Reglamento de la Ley de Adquisiciones, Arrendamientos y Servicios del Sector Público</w:t>
            </w:r>
          </w:p>
        </w:tc>
        <w:tc>
          <w:tcPr>
            <w:tcW w:w="3237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BC4851" w:rsidTr="00EF5C94">
        <w:tc>
          <w:tcPr>
            <w:tcW w:w="676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Bases, Políticas y Lineamientos que deberán seguirse en los </w:t>
            </w:r>
            <w:r>
              <w:rPr>
                <w:rFonts w:ascii="Arial" w:hAnsi="Arial" w:cs="Arial"/>
                <w:sz w:val="22"/>
                <w:szCs w:val="22"/>
              </w:rPr>
              <w:t>Procesos de Adquisición y Arrendamientos de Bienes Muebles y la Contratación de la Prestación de Servicios de Cualquier Naturaleza, con excepción a los Relacionados con la Obra Pública, que realicen las Unidades Administrativas Competentes y Subcomité de Órganos Desconcentrados de la Secretaría de Salud</w:t>
            </w:r>
          </w:p>
        </w:tc>
        <w:tc>
          <w:tcPr>
            <w:tcW w:w="3237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  <w:tr w:rsidR="00BC4851" w:rsidTr="00EF5C94">
        <w:tc>
          <w:tcPr>
            <w:tcW w:w="6768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Manual de integración y funcionamiento del Subcomité revisor de bases de los Servicios de Atención Psiquiátrica.</w:t>
            </w:r>
          </w:p>
        </w:tc>
        <w:tc>
          <w:tcPr>
            <w:tcW w:w="3237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</w:tbl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7.0  Registros</w:t>
      </w: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4"/>
        <w:gridCol w:w="2275"/>
        <w:gridCol w:w="2269"/>
        <w:gridCol w:w="2276"/>
      </w:tblGrid>
      <w:tr w:rsidR="00BC4851" w:rsidTr="005D2340">
        <w:tc>
          <w:tcPr>
            <w:tcW w:w="2501" w:type="dxa"/>
            <w:shd w:val="pct25" w:color="auto" w:fill="auto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Registros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Tiempo de conservación</w:t>
            </w:r>
          </w:p>
        </w:tc>
        <w:tc>
          <w:tcPr>
            <w:tcW w:w="2501" w:type="dxa"/>
            <w:shd w:val="pct25" w:color="auto" w:fill="auto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Responsable de conservarlo</w:t>
            </w:r>
          </w:p>
        </w:tc>
        <w:tc>
          <w:tcPr>
            <w:tcW w:w="2502" w:type="dxa"/>
            <w:shd w:val="pct25" w:color="auto" w:fill="auto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Código de registro o identificación única</w:t>
            </w:r>
          </w:p>
        </w:tc>
      </w:tr>
      <w:tr w:rsidR="00BC4851" w:rsidTr="00EF5C94">
        <w:tc>
          <w:tcPr>
            <w:tcW w:w="2501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Oficios de solicitud de adquisición o contratación de bienes y/o servicios por parte de las unidades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requerientes</w:t>
            </w:r>
            <w:proofErr w:type="spellEnd"/>
          </w:p>
        </w:tc>
        <w:tc>
          <w:tcPr>
            <w:tcW w:w="2501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  <w:tc>
          <w:tcPr>
            <w:tcW w:w="2502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oficio</w:t>
            </w:r>
          </w:p>
        </w:tc>
      </w:tr>
      <w:tr w:rsidR="00BC4851" w:rsidTr="00EF5C94">
        <w:tc>
          <w:tcPr>
            <w:tcW w:w="2501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Oficios de suficiencia presupuestal por parte de las unidades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requerientes</w:t>
            </w:r>
            <w:proofErr w:type="spellEnd"/>
          </w:p>
        </w:tc>
        <w:tc>
          <w:tcPr>
            <w:tcW w:w="2501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  <w:tc>
          <w:tcPr>
            <w:tcW w:w="2502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oficio</w:t>
            </w:r>
          </w:p>
        </w:tc>
      </w:tr>
      <w:tr w:rsidR="00BC4851" w:rsidTr="00EF5C94">
        <w:tc>
          <w:tcPr>
            <w:tcW w:w="2501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Oficios de nivel de inventarios por parte de las unidades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requerientes</w:t>
            </w:r>
            <w:proofErr w:type="spellEnd"/>
          </w:p>
        </w:tc>
        <w:tc>
          <w:tcPr>
            <w:tcW w:w="2501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  <w:tc>
          <w:tcPr>
            <w:tcW w:w="2502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oficio</w:t>
            </w:r>
          </w:p>
        </w:tc>
      </w:tr>
      <w:tr w:rsidR="00BC4851" w:rsidTr="00EF5C94">
        <w:tc>
          <w:tcPr>
            <w:tcW w:w="2501" w:type="dxa"/>
            <w:vAlign w:val="center"/>
          </w:tcPr>
          <w:p w:rsidR="00BC4851" w:rsidRDefault="00BC4851" w:rsidP="00EF5C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Acta de la Sesión del Subcomité revisor de bases.</w:t>
            </w:r>
          </w:p>
        </w:tc>
        <w:tc>
          <w:tcPr>
            <w:tcW w:w="2501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 años</w:t>
            </w:r>
          </w:p>
        </w:tc>
        <w:tc>
          <w:tcPr>
            <w:tcW w:w="2501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Departamento de adquisiciones</w:t>
            </w:r>
          </w:p>
        </w:tc>
        <w:tc>
          <w:tcPr>
            <w:tcW w:w="2502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y número de Sesión</w:t>
            </w:r>
          </w:p>
        </w:tc>
      </w:tr>
    </w:tbl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>
        <w:rPr>
          <w:rFonts w:ascii="Arial" w:hAnsi="Arial" w:cs="Arial"/>
          <w:b/>
          <w:bCs/>
          <w:sz w:val="22"/>
          <w:szCs w:val="22"/>
        </w:rPr>
        <w:lastRenderedPageBreak/>
        <w:t>8.0   Glosario</w:t>
      </w: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tbl>
      <w:tblPr>
        <w:tblW w:w="9531" w:type="dxa"/>
        <w:tblLook w:val="01E0"/>
      </w:tblPr>
      <w:tblGrid>
        <w:gridCol w:w="534"/>
        <w:gridCol w:w="8997"/>
      </w:tblGrid>
      <w:tr w:rsidR="00BC4851" w:rsidTr="00EF5C94">
        <w:tc>
          <w:tcPr>
            <w:tcW w:w="534" w:type="dxa"/>
          </w:tcPr>
          <w:p w:rsidR="00BC4851" w:rsidRPr="00BA7630" w:rsidRDefault="00BC4851" w:rsidP="00EF5C94">
            <w:pPr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8.1</w:t>
            </w:r>
          </w:p>
        </w:tc>
        <w:tc>
          <w:tcPr>
            <w:tcW w:w="8997" w:type="dxa"/>
          </w:tcPr>
          <w:p w:rsidR="00BC4851" w:rsidRDefault="00BC4851" w:rsidP="00EF5C94">
            <w:pPr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s-MX"/>
              </w:rPr>
              <w:t>COMPRANET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MX"/>
              </w:rPr>
              <w:t>: Sistema electrónico de contrataciones gubernamentales.</w:t>
            </w:r>
          </w:p>
        </w:tc>
      </w:tr>
      <w:tr w:rsidR="00BC4851" w:rsidTr="00EF5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C4851" w:rsidRPr="00BA7630" w:rsidRDefault="00BC4851" w:rsidP="00EF5C94">
            <w:pPr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8.2</w:t>
            </w:r>
          </w:p>
        </w:tc>
        <w:tc>
          <w:tcPr>
            <w:tcW w:w="8997" w:type="dxa"/>
            <w:tcBorders>
              <w:top w:val="nil"/>
              <w:left w:val="nil"/>
              <w:bottom w:val="nil"/>
              <w:right w:val="nil"/>
            </w:tcBorders>
          </w:tcPr>
          <w:p w:rsidR="00BC4851" w:rsidRDefault="00BC4851" w:rsidP="00EF5C94">
            <w:pPr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Departamento de adquisiciones: El Departamento de adquisiciones de los Servicios de Atención Psiquiátrica.</w:t>
            </w:r>
          </w:p>
        </w:tc>
      </w:tr>
      <w:tr w:rsidR="00BC4851" w:rsidTr="00EF5C94">
        <w:tc>
          <w:tcPr>
            <w:tcW w:w="534" w:type="dxa"/>
          </w:tcPr>
          <w:p w:rsidR="00BC4851" w:rsidRPr="00BA7630" w:rsidRDefault="00BC4851" w:rsidP="00EF5C94">
            <w:pPr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8.3</w:t>
            </w:r>
          </w:p>
        </w:tc>
        <w:tc>
          <w:tcPr>
            <w:tcW w:w="8997" w:type="dxa"/>
          </w:tcPr>
          <w:p w:rsidR="00BC4851" w:rsidRDefault="00BC4851" w:rsidP="00EF5C9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Dirección de Administración: La Dirección de Administración de los Servicios de Atención Psiquiátrica.</w:t>
            </w:r>
          </w:p>
        </w:tc>
      </w:tr>
      <w:tr w:rsidR="00BC4851" w:rsidTr="00EF5C94">
        <w:tc>
          <w:tcPr>
            <w:tcW w:w="534" w:type="dxa"/>
          </w:tcPr>
          <w:p w:rsidR="00BC4851" w:rsidRPr="00BA7630" w:rsidRDefault="00BC4851" w:rsidP="00EF5C94">
            <w:pPr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8.4</w:t>
            </w:r>
          </w:p>
        </w:tc>
        <w:tc>
          <w:tcPr>
            <w:tcW w:w="8997" w:type="dxa"/>
          </w:tcPr>
          <w:p w:rsidR="00BC4851" w:rsidRDefault="00BC4851" w:rsidP="00EF5C94">
            <w:pPr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Licitante: Persona física o moral que participa en los procedimientos de adquisición y/o contratación de bienes y/o servicios de las dependencias y entidades.</w:t>
            </w:r>
          </w:p>
        </w:tc>
      </w:tr>
      <w:tr w:rsidR="00BC4851" w:rsidTr="00EF5C94">
        <w:tc>
          <w:tcPr>
            <w:tcW w:w="534" w:type="dxa"/>
          </w:tcPr>
          <w:p w:rsidR="00BC4851" w:rsidRPr="00BA7630" w:rsidRDefault="00BC4851" w:rsidP="00EF5C94">
            <w:pPr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8.5</w:t>
            </w:r>
          </w:p>
        </w:tc>
        <w:tc>
          <w:tcPr>
            <w:tcW w:w="8997" w:type="dxa"/>
          </w:tcPr>
          <w:p w:rsidR="00BC4851" w:rsidRDefault="00BC4851" w:rsidP="00EF5C94">
            <w:pPr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SICORC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 Sistema de Consultas y Orientación sobre las Reservas de Compras de la Secretaría de Economía.</w:t>
            </w:r>
          </w:p>
        </w:tc>
      </w:tr>
      <w:tr w:rsidR="00BC4851" w:rsidTr="00EF5C94">
        <w:tc>
          <w:tcPr>
            <w:tcW w:w="534" w:type="dxa"/>
          </w:tcPr>
          <w:p w:rsidR="00BC4851" w:rsidRPr="00BA7630" w:rsidRDefault="00BC4851" w:rsidP="00EF5C94">
            <w:pPr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8.6</w:t>
            </w:r>
          </w:p>
        </w:tc>
        <w:tc>
          <w:tcPr>
            <w:tcW w:w="8997" w:type="dxa"/>
          </w:tcPr>
          <w:p w:rsidR="00BC4851" w:rsidRDefault="00BC4851" w:rsidP="00EF5C94">
            <w:pPr>
              <w:spacing w:line="276" w:lineRule="auto"/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Subcomité revisor de bases: El Subcomité revisor de bases de los Servicios de Atención Psiquiátrica.</w:t>
            </w:r>
          </w:p>
        </w:tc>
      </w:tr>
      <w:tr w:rsidR="00BC4851" w:rsidTr="00EF5C94">
        <w:tc>
          <w:tcPr>
            <w:tcW w:w="534" w:type="dxa"/>
          </w:tcPr>
          <w:p w:rsidR="00BC4851" w:rsidRPr="00BA7630" w:rsidRDefault="00BC4851" w:rsidP="00EF5C94">
            <w:pPr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8.7</w:t>
            </w:r>
          </w:p>
        </w:tc>
        <w:tc>
          <w:tcPr>
            <w:tcW w:w="8997" w:type="dxa"/>
          </w:tcPr>
          <w:p w:rsidR="00BC4851" w:rsidRDefault="00BC4851" w:rsidP="00EF5C9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Subdirección de Programación y Presupuesto: La Subdirección de Programación y Presupuesto 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de los Servicios de Atención Psiquiátrica.</w:t>
            </w:r>
          </w:p>
        </w:tc>
      </w:tr>
      <w:tr w:rsidR="00BC4851" w:rsidTr="00EF5C94">
        <w:tc>
          <w:tcPr>
            <w:tcW w:w="534" w:type="dxa"/>
          </w:tcPr>
          <w:p w:rsidR="00BC4851" w:rsidRPr="00BA7630" w:rsidRDefault="00BC4851" w:rsidP="00EF5C94">
            <w:pPr>
              <w:rPr>
                <w:rFonts w:ascii="Arial" w:hAnsi="Arial" w:cs="Arial"/>
                <w:b/>
              </w:rPr>
            </w:pPr>
            <w:r w:rsidRPr="00BA7630">
              <w:rPr>
                <w:rFonts w:ascii="Arial" w:hAnsi="Arial" w:cs="Arial"/>
                <w:b/>
                <w:sz w:val="22"/>
                <w:szCs w:val="22"/>
              </w:rPr>
              <w:t>8.8</w:t>
            </w:r>
          </w:p>
        </w:tc>
        <w:tc>
          <w:tcPr>
            <w:tcW w:w="8997" w:type="dxa"/>
          </w:tcPr>
          <w:p w:rsidR="00BC4851" w:rsidRDefault="00BC4851" w:rsidP="00EF5C9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Unidad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MX"/>
              </w:rPr>
              <w:t>requeriente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o usuaria: Las seis unidades dependientes de los Servicios de Atención Psiquiátrica.</w:t>
            </w:r>
          </w:p>
        </w:tc>
      </w:tr>
    </w:tbl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9.0  Cambios de esta versión</w:t>
      </w: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15"/>
        <w:gridCol w:w="3091"/>
        <w:gridCol w:w="2948"/>
      </w:tblGrid>
      <w:tr w:rsidR="00BC4851" w:rsidTr="006F47AD">
        <w:trPr>
          <w:trHeight w:val="487"/>
        </w:trPr>
        <w:tc>
          <w:tcPr>
            <w:tcW w:w="3384" w:type="dxa"/>
            <w:shd w:val="pct25" w:color="auto" w:fill="auto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Número de Revisión</w:t>
            </w:r>
          </w:p>
        </w:tc>
        <w:tc>
          <w:tcPr>
            <w:tcW w:w="3384" w:type="dxa"/>
            <w:shd w:val="pct25" w:color="auto" w:fill="auto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Fecha de la actualización</w:t>
            </w:r>
          </w:p>
        </w:tc>
        <w:tc>
          <w:tcPr>
            <w:tcW w:w="3237" w:type="dxa"/>
            <w:shd w:val="pct25" w:color="auto" w:fill="auto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Descripción del cambio</w:t>
            </w:r>
          </w:p>
        </w:tc>
      </w:tr>
      <w:tr w:rsidR="00BC4851" w:rsidTr="00EF5C94">
        <w:tc>
          <w:tcPr>
            <w:tcW w:w="3384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  <w:tc>
          <w:tcPr>
            <w:tcW w:w="3384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  <w:tc>
          <w:tcPr>
            <w:tcW w:w="3237" w:type="dxa"/>
            <w:vAlign w:val="center"/>
          </w:tcPr>
          <w:p w:rsidR="00BC4851" w:rsidRDefault="00BC4851" w:rsidP="00EF5C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 aplica</w:t>
            </w:r>
          </w:p>
        </w:tc>
      </w:tr>
    </w:tbl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10.0  Anexos</w:t>
      </w:r>
    </w:p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10.1 </w:t>
      </w:r>
      <w:r>
        <w:rPr>
          <w:rFonts w:ascii="Arial" w:hAnsi="Arial" w:cs="Arial"/>
          <w:sz w:val="22"/>
          <w:szCs w:val="22"/>
        </w:rPr>
        <w:t>Formato de contenido de expediente de licitación pública.</w:t>
      </w: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p w:rsidR="00BC4851" w:rsidRDefault="00BC4851" w:rsidP="00BC4851">
      <w:pPr>
        <w:rPr>
          <w:rFonts w:ascii="Arial" w:hAnsi="Arial" w:cs="Arial"/>
          <w:sz w:val="22"/>
          <w:szCs w:val="22"/>
        </w:rPr>
      </w:pPr>
    </w:p>
    <w:sectPr w:rsidR="00BC4851" w:rsidSect="00194311">
      <w:headerReference w:type="default" r:id="rId7"/>
      <w:pgSz w:w="12240" w:h="15840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050" w:rsidRDefault="00C56050" w:rsidP="00BC4851">
      <w:r>
        <w:separator/>
      </w:r>
    </w:p>
  </w:endnote>
  <w:endnote w:type="continuationSeparator" w:id="0">
    <w:p w:rsidR="00C56050" w:rsidRDefault="00C56050" w:rsidP="00BC4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050" w:rsidRDefault="00C56050" w:rsidP="00BC4851">
      <w:r>
        <w:separator/>
      </w:r>
    </w:p>
  </w:footnote>
  <w:footnote w:type="continuationSeparator" w:id="0">
    <w:p w:rsidR="00C56050" w:rsidRDefault="00C56050" w:rsidP="00BC48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5387"/>
      <w:gridCol w:w="1559"/>
      <w:gridCol w:w="1559"/>
    </w:tblGrid>
    <w:tr w:rsidR="00BC4851" w:rsidRPr="00CB1B31" w:rsidTr="00EF5C94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BC4851" w:rsidRPr="00CB1B31" w:rsidRDefault="00BC4851" w:rsidP="00EF5C94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val="es-MX" w:eastAsia="es-MX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41275</wp:posOffset>
                </wp:positionV>
                <wp:extent cx="1028700" cy="828040"/>
                <wp:effectExtent l="19050" t="0" r="0" b="0"/>
                <wp:wrapNone/>
                <wp:docPr id="2" name="Imagen 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vAlign w:val="center"/>
        </w:tcPr>
        <w:p w:rsidR="00BC4851" w:rsidRPr="00BC4851" w:rsidRDefault="00BC4851" w:rsidP="00BC4851">
          <w:pPr>
            <w:pStyle w:val="Ttulo5"/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BC4851">
            <w:rPr>
              <w:rFonts w:ascii="Arial" w:hAnsi="Arial" w:cs="Arial"/>
              <w:sz w:val="18"/>
              <w:szCs w:val="18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BC4851" w:rsidRPr="00CB1B31" w:rsidRDefault="00BC4851" w:rsidP="00EF5C94">
          <w:pPr>
            <w:spacing w:before="60" w:after="6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CB1B31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>
            <w:rPr>
              <w:rFonts w:ascii="Arial" w:hAnsi="Arial" w:cs="Arial"/>
              <w:noProof/>
              <w:sz w:val="18"/>
              <w:szCs w:val="18"/>
              <w:lang w:val="es-MX" w:eastAsia="es-MX"/>
            </w:rPr>
            <w:drawing>
              <wp:inline distT="0" distB="0" distL="0" distR="0">
                <wp:extent cx="847725" cy="731520"/>
                <wp:effectExtent l="19050" t="0" r="9525" b="0"/>
                <wp:docPr id="1" name="Imagen 1" descr="LOGO SA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A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CB1B31"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</w:tc>
      <w:tc>
        <w:tcPr>
          <w:tcW w:w="1559" w:type="dxa"/>
          <w:vMerge w:val="restart"/>
          <w:vAlign w:val="center"/>
        </w:tcPr>
        <w:p w:rsidR="00BC4851" w:rsidRPr="00CB1B31" w:rsidRDefault="00BC4851" w:rsidP="00EF5C94">
          <w:pPr>
            <w:pStyle w:val="Ttulo5"/>
            <w:spacing w:before="60" w:after="60"/>
            <w:rPr>
              <w:rFonts w:cs="Arial"/>
              <w:b/>
              <w:szCs w:val="18"/>
            </w:rPr>
          </w:pPr>
          <w:r w:rsidRPr="00CB1B31">
            <w:rPr>
              <w:rFonts w:cs="Arial"/>
              <w:b/>
              <w:szCs w:val="18"/>
            </w:rPr>
            <w:t>Código:</w:t>
          </w:r>
        </w:p>
        <w:p w:rsidR="00BC4851" w:rsidRPr="00CB1B31" w:rsidRDefault="00BC4851" w:rsidP="00EF5C94">
          <w:pPr>
            <w:pStyle w:val="Ttulo5"/>
            <w:spacing w:before="60" w:after="60"/>
            <w:rPr>
              <w:rFonts w:cs="Arial"/>
              <w:color w:val="000000"/>
              <w:szCs w:val="18"/>
            </w:rPr>
          </w:pPr>
          <w:r w:rsidRPr="00CB1B31">
            <w:rPr>
              <w:rFonts w:cs="Arial"/>
              <w:b/>
              <w:szCs w:val="18"/>
            </w:rPr>
            <w:t xml:space="preserve"> </w:t>
          </w:r>
        </w:p>
      </w:tc>
    </w:tr>
    <w:tr w:rsidR="00BC4851" w:rsidRPr="00CB1B31" w:rsidTr="00EF5C94">
      <w:trPr>
        <w:cantSplit/>
        <w:trHeight w:val="283"/>
      </w:trPr>
      <w:tc>
        <w:tcPr>
          <w:tcW w:w="1701" w:type="dxa"/>
          <w:vMerge/>
          <w:vAlign w:val="center"/>
        </w:tcPr>
        <w:p w:rsidR="00BC4851" w:rsidRPr="00CB1B31" w:rsidRDefault="00BC4851" w:rsidP="00EF5C94">
          <w:pPr>
            <w:rPr>
              <w:rFonts w:ascii="Arial" w:hAnsi="Arial" w:cs="Arial"/>
              <w:noProof/>
              <w:sz w:val="16"/>
              <w:szCs w:val="16"/>
            </w:rPr>
          </w:pPr>
        </w:p>
      </w:tc>
      <w:tc>
        <w:tcPr>
          <w:tcW w:w="5387" w:type="dxa"/>
          <w:vAlign w:val="center"/>
        </w:tcPr>
        <w:p w:rsidR="00BC4851" w:rsidRPr="00BC4851" w:rsidRDefault="00BC4851" w:rsidP="00BC4851">
          <w:pPr>
            <w:pStyle w:val="Ttulo5"/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DEPARTAMENTO DE ADQUISICIONES</w:t>
          </w:r>
        </w:p>
      </w:tc>
      <w:tc>
        <w:tcPr>
          <w:tcW w:w="1559" w:type="dxa"/>
          <w:vMerge/>
          <w:vAlign w:val="center"/>
        </w:tcPr>
        <w:p w:rsidR="00BC4851" w:rsidRPr="00CB1B31" w:rsidRDefault="00BC4851" w:rsidP="00EF5C94">
          <w:pPr>
            <w:spacing w:before="60" w:after="60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559" w:type="dxa"/>
          <w:vMerge/>
          <w:vAlign w:val="center"/>
        </w:tcPr>
        <w:p w:rsidR="00BC4851" w:rsidRPr="00CB1B31" w:rsidRDefault="00BC4851" w:rsidP="00EF5C94">
          <w:pPr>
            <w:pStyle w:val="Ttulo5"/>
            <w:spacing w:before="60" w:after="60"/>
            <w:rPr>
              <w:rFonts w:cs="Arial"/>
              <w:b/>
              <w:sz w:val="18"/>
              <w:szCs w:val="18"/>
            </w:rPr>
          </w:pPr>
        </w:p>
      </w:tc>
    </w:tr>
    <w:tr w:rsidR="00BC4851" w:rsidRPr="00CB1B31" w:rsidTr="00EF5C94">
      <w:trPr>
        <w:cantSplit/>
        <w:trHeight w:val="340"/>
      </w:trPr>
      <w:tc>
        <w:tcPr>
          <w:tcW w:w="1701" w:type="dxa"/>
          <w:vMerge/>
        </w:tcPr>
        <w:p w:rsidR="00BC4851" w:rsidRPr="00CB1B31" w:rsidRDefault="00BC4851" w:rsidP="00EF5C94">
          <w:pPr>
            <w:pStyle w:val="Encabezad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387" w:type="dxa"/>
          <w:vMerge w:val="restart"/>
          <w:vAlign w:val="center"/>
        </w:tcPr>
        <w:p w:rsidR="00BC4851" w:rsidRPr="00BC4851" w:rsidRDefault="00BC4851" w:rsidP="00BC4851">
          <w:pPr>
            <w:pStyle w:val="Encabezado"/>
            <w:tabs>
              <w:tab w:val="clear" w:pos="4252"/>
              <w:tab w:val="center" w:pos="356"/>
            </w:tabs>
            <w:ind w:left="356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3. PROCEDIMIENTO PARA LA INSTRUMENTACIÓN DE LOS PROCESOS DE COMPRAS MEDIANTE LICITACIÓN PÚBLICA</w:t>
          </w:r>
        </w:p>
      </w:tc>
      <w:tc>
        <w:tcPr>
          <w:tcW w:w="1559" w:type="dxa"/>
          <w:vMerge/>
          <w:vAlign w:val="center"/>
        </w:tcPr>
        <w:p w:rsidR="00BC4851" w:rsidRPr="00CB1B31" w:rsidRDefault="00BC4851" w:rsidP="00EF5C94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vAlign w:val="center"/>
        </w:tcPr>
        <w:p w:rsidR="00BC4851" w:rsidRPr="00CB1B31" w:rsidRDefault="00BC4851" w:rsidP="00EF5C94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  <w:r w:rsidRPr="00CB1B31">
            <w:rPr>
              <w:rFonts w:ascii="Arial" w:hAnsi="Arial" w:cs="Arial"/>
              <w:sz w:val="18"/>
              <w:szCs w:val="18"/>
            </w:rPr>
            <w:t>Rev. X</w:t>
          </w:r>
        </w:p>
      </w:tc>
    </w:tr>
    <w:tr w:rsidR="00BC4851" w:rsidRPr="00CB1B31" w:rsidTr="00EF5C94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BC4851" w:rsidRPr="00CB1B31" w:rsidRDefault="00BC4851" w:rsidP="00EF5C94">
          <w:pPr>
            <w:pStyle w:val="Encabezad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BC4851" w:rsidRPr="00CB1B31" w:rsidRDefault="00BC4851" w:rsidP="00EF5C94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BC4851" w:rsidRPr="00CB1B31" w:rsidRDefault="00BC4851" w:rsidP="00EF5C94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BC4851" w:rsidRPr="00CB1B31" w:rsidRDefault="00BC4851" w:rsidP="00EF5C94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  <w:r w:rsidRPr="00CB1B31">
            <w:rPr>
              <w:rFonts w:ascii="Arial" w:hAnsi="Arial" w:cs="Arial"/>
              <w:sz w:val="18"/>
              <w:szCs w:val="18"/>
            </w:rPr>
            <w:t xml:space="preserve">Hoja: 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CB25A9" w:rsidRPr="00C77F3A">
            <w:rPr>
              <w:rFonts w:ascii="Arial" w:hAnsi="Arial" w:cs="Arial"/>
              <w:sz w:val="18"/>
              <w:szCs w:val="18"/>
            </w:rPr>
            <w:fldChar w:fldCharType="begin"/>
          </w:r>
          <w:r w:rsidRPr="00C77F3A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="00CB25A9" w:rsidRPr="00C77F3A">
            <w:rPr>
              <w:rFonts w:ascii="Arial" w:hAnsi="Arial" w:cs="Arial"/>
              <w:sz w:val="18"/>
              <w:szCs w:val="18"/>
            </w:rPr>
            <w:fldChar w:fldCharType="separate"/>
          </w:r>
          <w:r w:rsidR="006F47AD">
            <w:rPr>
              <w:rFonts w:ascii="Arial" w:hAnsi="Arial" w:cs="Arial"/>
              <w:noProof/>
              <w:sz w:val="18"/>
              <w:szCs w:val="18"/>
            </w:rPr>
            <w:t>10</w:t>
          </w:r>
          <w:r w:rsidR="00CB25A9" w:rsidRPr="00C77F3A">
            <w:rPr>
              <w:rFonts w:ascii="Arial" w:hAnsi="Arial" w:cs="Arial"/>
              <w:sz w:val="18"/>
              <w:szCs w:val="18"/>
            </w:rPr>
            <w:fldChar w:fldCharType="end"/>
          </w:r>
          <w:r w:rsidRPr="00CB1B31">
            <w:rPr>
              <w:rStyle w:val="Nmerodepgina"/>
              <w:rFonts w:ascii="Arial" w:hAnsi="Arial" w:cs="Arial"/>
              <w:sz w:val="18"/>
              <w:szCs w:val="18"/>
            </w:rPr>
            <w:t xml:space="preserve">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t xml:space="preserve">de </w:t>
          </w:r>
          <w:r w:rsidR="005D2340">
            <w:rPr>
              <w:rStyle w:val="Nmerodepgina"/>
              <w:rFonts w:ascii="Arial" w:hAnsi="Arial" w:cs="Arial"/>
              <w:sz w:val="18"/>
              <w:szCs w:val="18"/>
            </w:rPr>
            <w:t>11</w:t>
          </w:r>
        </w:p>
      </w:tc>
    </w:tr>
  </w:tbl>
  <w:p w:rsidR="00BC4851" w:rsidRDefault="00BC485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B3A1A"/>
    <w:multiLevelType w:val="hybridMultilevel"/>
    <w:tmpl w:val="FD74FCBA"/>
    <w:lvl w:ilvl="0" w:tplc="6BFC3F38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  <w:b w:val="0"/>
        <w:i w:val="0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">
    <w:nsid w:val="64D33499"/>
    <w:multiLevelType w:val="multilevel"/>
    <w:tmpl w:val="EF2E42BA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C4851"/>
    <w:rsid w:val="000B0D06"/>
    <w:rsid w:val="001932E2"/>
    <w:rsid w:val="00194311"/>
    <w:rsid w:val="005D2340"/>
    <w:rsid w:val="00621480"/>
    <w:rsid w:val="006F47AD"/>
    <w:rsid w:val="006F7F93"/>
    <w:rsid w:val="007D7373"/>
    <w:rsid w:val="00BC4851"/>
    <w:rsid w:val="00C56050"/>
    <w:rsid w:val="00CB2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7" type="connector" idref="#_x0000_s1115"/>
        <o:r id="V:Rule18" type="connector" idref="#_x0000_s1109"/>
        <o:r id="V:Rule19" type="connector" idref="#_x0000_s1114"/>
        <o:r id="V:Rule20" type="connector" idref="#_x0000_s1116"/>
        <o:r id="V:Rule21" type="connector" idref="#_x0000_s1103"/>
        <o:r id="V:Rule22" type="connector" idref="#_x0000_s1102"/>
        <o:r id="V:Rule23" type="connector" idref="#_x0000_s1108"/>
        <o:r id="V:Rule24" type="connector" idref="#_x0000_s1106"/>
        <o:r id="V:Rule25" type="connector" idref="#_x0000_s1107"/>
        <o:r id="V:Rule26" type="connector" idref="#_x0000_s1104"/>
        <o:r id="V:Rule27" type="connector" idref="#_x0000_s1105"/>
        <o:r id="V:Rule28" type="connector" idref="#_x0000_s1113"/>
        <o:r id="V:Rule29" type="connector" idref="#_x0000_s1101"/>
        <o:r id="V:Rule30" type="connector" idref="#_x0000_s1112"/>
        <o:r id="V:Rule31" type="connector" idref="#_x0000_s1111"/>
        <o:r id="V:Rule32" type="connector" idref="#_x0000_s1110"/>
        <o:r id="V:Rule34" type="connector" idref="#_x0000_s1118"/>
        <o:r id="V:Rule36" type="connector" idref="#_x0000_s111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485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C48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BC4851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Encabezado">
    <w:name w:val="header"/>
    <w:basedOn w:val="Normal"/>
    <w:link w:val="EncabezadoCar"/>
    <w:rsid w:val="00BC485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C485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bloque">
    <w:name w:val="Block Text"/>
    <w:basedOn w:val="Normal"/>
    <w:semiHidden/>
    <w:rsid w:val="00BC4851"/>
    <w:pPr>
      <w:ind w:left="72" w:right="72"/>
      <w:jc w:val="both"/>
    </w:pPr>
    <w:rPr>
      <w:rFonts w:ascii="Arial" w:hAnsi="Arial" w:cs="Arial"/>
      <w:bCs/>
      <w:szCs w:val="20"/>
    </w:rPr>
  </w:style>
  <w:style w:type="paragraph" w:styleId="Piedepgina">
    <w:name w:val="footer"/>
    <w:basedOn w:val="Normal"/>
    <w:link w:val="PiedepginaCar"/>
    <w:uiPriority w:val="99"/>
    <w:semiHidden/>
    <w:unhideWhenUsed/>
    <w:rsid w:val="00BC485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C485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C485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BC4851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485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4851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1482</Words>
  <Characters>8152</Characters>
  <Application>Microsoft Office Word</Application>
  <DocSecurity>0</DocSecurity>
  <Lines>67</Lines>
  <Paragraphs>19</Paragraphs>
  <ScaleCrop>false</ScaleCrop>
  <Company/>
  <LinksUpToDate>false</LinksUpToDate>
  <CharactersWithSpaces>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Lic. Lesli Yenif</dc:creator>
  <cp:lastModifiedBy>Lic. Lesli Yenif</cp:lastModifiedBy>
  <cp:revision>4</cp:revision>
  <dcterms:created xsi:type="dcterms:W3CDTF">2012-09-10T19:00:00Z</dcterms:created>
  <dcterms:modified xsi:type="dcterms:W3CDTF">2012-09-11T20:07:00Z</dcterms:modified>
</cp:coreProperties>
</file>