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Pr="00723A4A" w:rsidRDefault="00B43882">
      <w:pPr>
        <w:spacing w:line="360" w:lineRule="auto"/>
        <w:ind w:left="360"/>
        <w:jc w:val="center"/>
        <w:rPr>
          <w:b/>
          <w:bCs/>
          <w:sz w:val="24"/>
          <w:szCs w:val="24"/>
        </w:rPr>
      </w:pPr>
      <w:r w:rsidRPr="00723A4A">
        <w:rPr>
          <w:b/>
          <w:bCs/>
          <w:sz w:val="24"/>
          <w:szCs w:val="24"/>
        </w:rPr>
        <w:t>1</w:t>
      </w:r>
      <w:bookmarkStart w:id="0" w:name="_GoBack"/>
      <w:bookmarkEnd w:id="0"/>
      <w:r w:rsidRPr="00723A4A">
        <w:rPr>
          <w:b/>
          <w:bCs/>
          <w:sz w:val="24"/>
          <w:szCs w:val="24"/>
        </w:rPr>
        <w:t xml:space="preserve">2. PROCEDIMIENTO PARA </w:t>
      </w:r>
      <w:r w:rsidRPr="00723A4A">
        <w:rPr>
          <w:b/>
          <w:bCs/>
          <w:sz w:val="22"/>
          <w:szCs w:val="22"/>
        </w:rPr>
        <w:t>ELABORAR GUÍAS TECNOLÓGICAS DE CUIDADOS INTENSIVOS Y QUIRÓFANO.</w:t>
      </w:r>
    </w:p>
    <w:p w:rsidR="00B43882" w:rsidRPr="00723A4A" w:rsidRDefault="00B43882">
      <w:pPr>
        <w:spacing w:line="360" w:lineRule="auto"/>
        <w:ind w:left="360"/>
        <w:rPr>
          <w:b/>
          <w:bCs/>
          <w:sz w:val="24"/>
          <w:szCs w:val="24"/>
        </w:rPr>
      </w:pPr>
    </w:p>
    <w:p w:rsidR="00B43882" w:rsidRDefault="00B43882">
      <w:pPr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B43882" w:rsidRDefault="00B43882">
      <w:pPr>
        <w:spacing w:line="360" w:lineRule="auto"/>
        <w:ind w:left="36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43882" w:rsidRPr="00723A4A" w:rsidRDefault="00B43882" w:rsidP="00723A4A">
      <w:pPr>
        <w:pStyle w:val="Heading1"/>
      </w:pPr>
      <w:r w:rsidRPr="00723A4A">
        <w:t xml:space="preserve"> Propósito</w:t>
      </w:r>
    </w:p>
    <w:p w:rsidR="00B43882" w:rsidRDefault="00B43882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:rsidR="00B43882" w:rsidRDefault="00B43882">
      <w:pPr>
        <w:rPr>
          <w:sz w:val="22"/>
          <w:szCs w:val="22"/>
        </w:rPr>
      </w:pPr>
      <w:r>
        <w:rPr>
          <w:sz w:val="22"/>
          <w:szCs w:val="22"/>
        </w:rPr>
        <w:t>Describir el procedimiento que se sigue para desarrollar guías tecnológicas de equipo médico, con objeto de que cualquier persona pueda consultarlo y que sirvan de herramienta a los tomadores de decisiones durante los diversos procesos de adquisición de equipo médico, en los diferentes establecimientos del sector público de atención a la salud.</w:t>
      </w:r>
    </w:p>
    <w:p w:rsidR="00B43882" w:rsidRDefault="00B43882" w:rsidP="00723A4A">
      <w:pPr>
        <w:pStyle w:val="Heading1"/>
      </w:pPr>
      <w:r>
        <w:t xml:space="preserve"> Alcance</w:t>
      </w:r>
    </w:p>
    <w:p w:rsidR="00B43882" w:rsidRDefault="00B43882">
      <w:pPr>
        <w:rPr>
          <w:sz w:val="22"/>
          <w:szCs w:val="22"/>
        </w:rPr>
      </w:pPr>
    </w:p>
    <w:p w:rsidR="00B43882" w:rsidRDefault="00B43882">
      <w:pPr>
        <w:widowControl w:val="0"/>
        <w:numPr>
          <w:ilvl w:val="1"/>
          <w:numId w:val="9"/>
        </w:numPr>
        <w:tabs>
          <w:tab w:val="left" w:pos="1418"/>
        </w:tabs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A nivel interno el procedimiento es aplicable a la Dirección de Ingeniería Biomédica, a la Subdirección de Análisis e Información de Equipo Médico  de este Centro con su Departamento de Cuidados Intensivos y Quirófano. </w:t>
      </w:r>
    </w:p>
    <w:p w:rsidR="00B43882" w:rsidRDefault="00B43882">
      <w:pPr>
        <w:tabs>
          <w:tab w:val="left" w:pos="525"/>
        </w:tabs>
        <w:ind w:left="360"/>
        <w:rPr>
          <w:sz w:val="22"/>
          <w:szCs w:val="22"/>
        </w:rPr>
      </w:pPr>
    </w:p>
    <w:p w:rsidR="00B43882" w:rsidRDefault="00B43882">
      <w:pPr>
        <w:widowControl w:val="0"/>
        <w:numPr>
          <w:ilvl w:val="1"/>
          <w:numId w:val="8"/>
        </w:numPr>
        <w:tabs>
          <w:tab w:val="left" w:pos="495"/>
          <w:tab w:val="left" w:pos="1155"/>
        </w:tabs>
        <w:suppressAutoHyphens/>
        <w:rPr>
          <w:sz w:val="22"/>
          <w:szCs w:val="22"/>
        </w:rPr>
      </w:pPr>
      <w:r>
        <w:rPr>
          <w:sz w:val="22"/>
          <w:szCs w:val="22"/>
        </w:rPr>
        <w:t>A nivel externo, al grupo de proveedores de equipo médico con representación en el territorio nacional, así como estudiantes, personal administrativo, ingenieros y población en general que de una u otra forma están vinculados con el equipamiento médico. Así como al sector salud público y privado a nivel nacional.</w:t>
      </w:r>
    </w:p>
    <w:p w:rsidR="00B43882" w:rsidRDefault="00B43882">
      <w:pPr>
        <w:pStyle w:val="BodyTextIndent2"/>
        <w:tabs>
          <w:tab w:val="clear" w:pos="851"/>
          <w:tab w:val="left" w:pos="-3969"/>
        </w:tabs>
        <w:rPr>
          <w:rFonts w:ascii="Times New Roman" w:hAnsi="Times New Roman" w:cs="Times New Roman"/>
        </w:rPr>
      </w:pPr>
    </w:p>
    <w:p w:rsidR="00B43882" w:rsidRDefault="00B43882" w:rsidP="00723A4A">
      <w:pPr>
        <w:pStyle w:val="Heading1"/>
      </w:pPr>
      <w:r>
        <w:t xml:space="preserve"> Políticas de operación, normas y lineamientos</w:t>
      </w:r>
    </w:p>
    <w:p w:rsidR="00B43882" w:rsidRDefault="00B43882">
      <w:pPr>
        <w:rPr>
          <w:rFonts w:ascii="Times New Roman" w:hAnsi="Times New Roman" w:cs="Times New Roman"/>
          <w:sz w:val="22"/>
          <w:szCs w:val="22"/>
        </w:rPr>
      </w:pPr>
    </w:p>
    <w:p w:rsidR="00B43882" w:rsidRDefault="00B43882">
      <w:pPr>
        <w:pStyle w:val="Header"/>
        <w:numPr>
          <w:ilvl w:val="1"/>
          <w:numId w:val="10"/>
        </w:numPr>
        <w:tabs>
          <w:tab w:val="center" w:pos="4252"/>
          <w:tab w:val="right" w:pos="8504"/>
        </w:tabs>
        <w:spacing w:after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La Dirección de Ingeniería Biomédica, será la responsable de:</w:t>
      </w:r>
    </w:p>
    <w:p w:rsidR="00B43882" w:rsidRDefault="00B43882">
      <w:pPr>
        <w:pStyle w:val="Header"/>
        <w:numPr>
          <w:ilvl w:val="0"/>
          <w:numId w:val="11"/>
        </w:numPr>
        <w:tabs>
          <w:tab w:val="center" w:pos="4252"/>
          <w:tab w:val="right" w:pos="8504"/>
        </w:tabs>
        <w:spacing w:after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Priorizar la elaboración de guías tecnológicas de equipo médico innovador. La tecnología presentada en estas guías cumplirá con la normatividad correspondiente. </w:t>
      </w:r>
    </w:p>
    <w:p w:rsidR="00B43882" w:rsidRDefault="00B43882">
      <w:pPr>
        <w:pStyle w:val="Header"/>
        <w:numPr>
          <w:ilvl w:val="0"/>
          <w:numId w:val="11"/>
        </w:numPr>
        <w:tabs>
          <w:tab w:val="center" w:pos="4252"/>
          <w:tab w:val="right" w:pos="8504"/>
        </w:tabs>
        <w:spacing w:after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El Departamento de Cuidados Intensivos y Quirófano  elabora exclusivamente Guías Tecnológicas de equipo médico de Cuidados Intensivos y Quirófano.</w:t>
      </w:r>
    </w:p>
    <w:p w:rsidR="00B43882" w:rsidRDefault="00B43882">
      <w:pPr>
        <w:pStyle w:val="Header"/>
        <w:numPr>
          <w:ilvl w:val="0"/>
          <w:numId w:val="11"/>
        </w:numPr>
        <w:tabs>
          <w:tab w:val="center" w:pos="4252"/>
          <w:tab w:val="right" w:pos="8504"/>
        </w:tabs>
        <w:spacing w:after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Poner a disposición del público usuario las guías tecnológicas de equipo médico.</w:t>
      </w:r>
    </w:p>
    <w:p w:rsidR="00B43882" w:rsidRDefault="00B43882">
      <w:pPr>
        <w:rPr>
          <w:sz w:val="16"/>
          <w:szCs w:val="16"/>
        </w:rPr>
      </w:pPr>
    </w:p>
    <w:p w:rsidR="00B43882" w:rsidRDefault="00B43882">
      <w:pPr>
        <w:pStyle w:val="Header"/>
        <w:widowControl w:val="0"/>
        <w:numPr>
          <w:ilvl w:val="1"/>
          <w:numId w:val="12"/>
        </w:numPr>
        <w:tabs>
          <w:tab w:val="center" w:pos="4252"/>
          <w:tab w:val="right" w:pos="8504"/>
        </w:tabs>
        <w:suppressAutoHyphens/>
        <w:spacing w:after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La Subdirección de Análisis e Información de Equipo Médico, a través del Departamento de Cuidados Intensivos y Quirófano,  será la responsable de:</w:t>
      </w:r>
    </w:p>
    <w:p w:rsidR="00B43882" w:rsidRDefault="00B43882">
      <w:pPr>
        <w:pStyle w:val="Header"/>
        <w:ind w:left="360"/>
        <w:jc w:val="both"/>
        <w:rPr>
          <w:b w:val="0"/>
          <w:bCs w:val="0"/>
        </w:rPr>
      </w:pPr>
    </w:p>
    <w:p w:rsidR="00B43882" w:rsidRDefault="00B43882">
      <w:pPr>
        <w:pStyle w:val="Header"/>
        <w:widowControl w:val="0"/>
        <w:numPr>
          <w:ilvl w:val="0"/>
          <w:numId w:val="13"/>
        </w:numPr>
        <w:tabs>
          <w:tab w:val="clear" w:pos="1440"/>
          <w:tab w:val="num" w:pos="1134"/>
          <w:tab w:val="center" w:pos="4252"/>
          <w:tab w:val="right" w:pos="8504"/>
        </w:tabs>
        <w:suppressAutoHyphens/>
        <w:spacing w:after="0"/>
        <w:ind w:left="1134" w:hanging="425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Recabar información para elaborar el contenido de las guías tecnológicas de equipo médico.</w:t>
      </w:r>
    </w:p>
    <w:p w:rsidR="00B43882" w:rsidRDefault="00B43882">
      <w:pPr>
        <w:pStyle w:val="BodyTextIndent2"/>
        <w:tabs>
          <w:tab w:val="clear" w:pos="851"/>
          <w:tab w:val="left" w:pos="567"/>
        </w:tabs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B43882" w:rsidRDefault="00B43882">
      <w:pPr>
        <w:pStyle w:val="BodyTextIndent2"/>
        <w:tabs>
          <w:tab w:val="clear" w:pos="851"/>
          <w:tab w:val="left" w:pos="567"/>
        </w:tabs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B43882" w:rsidRDefault="00B43882">
      <w:pPr>
        <w:pStyle w:val="BodyTextIndent2"/>
        <w:tabs>
          <w:tab w:val="clear" w:pos="851"/>
          <w:tab w:val="left" w:pos="567"/>
        </w:tabs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B43882" w:rsidRDefault="00B43882">
      <w:pPr>
        <w:pStyle w:val="BodyTextIndent2"/>
        <w:tabs>
          <w:tab w:val="clear" w:pos="851"/>
          <w:tab w:val="left" w:pos="567"/>
        </w:tabs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B43882" w:rsidRDefault="00B43882">
      <w:pPr>
        <w:pStyle w:val="BodyTextIndent2"/>
        <w:tabs>
          <w:tab w:val="clear" w:pos="851"/>
          <w:tab w:val="left" w:pos="567"/>
        </w:tabs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B43882" w:rsidRDefault="00B43882">
      <w:pPr>
        <w:pStyle w:val="BodyTextIndent2"/>
        <w:tabs>
          <w:tab w:val="clear" w:pos="851"/>
          <w:tab w:val="left" w:pos="567"/>
        </w:tabs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B43882" w:rsidRDefault="00B43882">
      <w:pPr>
        <w:pStyle w:val="BodyTextIndent2"/>
        <w:tabs>
          <w:tab w:val="clear" w:pos="851"/>
          <w:tab w:val="left" w:pos="567"/>
        </w:tabs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B43882" w:rsidRDefault="00B43882">
      <w:pPr>
        <w:pStyle w:val="BodyTextIndent2"/>
        <w:tabs>
          <w:tab w:val="clear" w:pos="851"/>
          <w:tab w:val="left" w:pos="567"/>
        </w:tabs>
        <w:ind w:left="426" w:hanging="426"/>
        <w:rPr>
          <w:rFonts w:ascii="Times New Roman" w:hAnsi="Times New Roman" w:cs="Times New Roman"/>
          <w:b/>
          <w:bCs/>
          <w:sz w:val="20"/>
          <w:szCs w:val="20"/>
        </w:rPr>
      </w:pPr>
    </w:p>
    <w:p w:rsidR="00B43882" w:rsidRDefault="00B43882" w:rsidP="00723A4A">
      <w:pPr>
        <w:pStyle w:val="Heading1"/>
      </w:pPr>
      <w:r>
        <w:t xml:space="preserve"> Descripción del procedimiento</w:t>
      </w:r>
    </w:p>
    <w:p w:rsidR="00B43882" w:rsidRDefault="00B43882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2197"/>
        <w:gridCol w:w="6022"/>
        <w:gridCol w:w="2125"/>
      </w:tblGrid>
      <w:tr w:rsidR="00B43882" w:rsidRPr="00C95A21">
        <w:trPr>
          <w:jc w:val="center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95A21">
              <w:rPr>
                <w:b/>
                <w:bCs/>
                <w:sz w:val="22"/>
                <w:szCs w:val="22"/>
              </w:rPr>
              <w:t>Secuencia de etapas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95A21">
              <w:rPr>
                <w:b/>
                <w:bCs/>
                <w:sz w:val="22"/>
                <w:szCs w:val="22"/>
              </w:rPr>
              <w:t>Actividad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95A21">
              <w:rPr>
                <w:b/>
                <w:bCs/>
                <w:sz w:val="22"/>
                <w:szCs w:val="22"/>
              </w:rPr>
              <w:t>Responsable</w:t>
            </w:r>
          </w:p>
        </w:tc>
      </w:tr>
      <w:tr w:rsidR="00B43882" w:rsidRPr="00C95A21">
        <w:trPr>
          <w:trHeight w:val="1080"/>
          <w:jc w:val="center"/>
        </w:trPr>
        <w:tc>
          <w:tcPr>
            <w:tcW w:w="2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3882" w:rsidRPr="00C95A21" w:rsidRDefault="00B43882">
            <w:pPr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1.0 Priorización de tecnologías</w:t>
            </w:r>
          </w:p>
        </w:tc>
        <w:tc>
          <w:tcPr>
            <w:tcW w:w="60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3882" w:rsidRPr="00C95A21" w:rsidRDefault="00B43882">
            <w:pPr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1.1 Determina priorización anual de guías tecnológicas a desarrollar basada en el enfoque de la problemática en salud, para el periodo específico.</w:t>
            </w:r>
          </w:p>
          <w:p w:rsidR="00B43882" w:rsidRPr="00C95A21" w:rsidRDefault="00B43882">
            <w:pPr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1.2 Determina la importancia, conforme a su aplicación tanto en trascendencia como periodicidad.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snapToGrid w:val="0"/>
              <w:jc w:val="left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Dirección de Ingeniería Biomédica</w:t>
            </w:r>
          </w:p>
        </w:tc>
      </w:tr>
      <w:tr w:rsidR="00B43882" w:rsidRPr="00C95A21">
        <w:trPr>
          <w:jc w:val="center"/>
        </w:trPr>
        <w:tc>
          <w:tcPr>
            <w:tcW w:w="2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3882" w:rsidRPr="00C95A21" w:rsidRDefault="00B43882">
            <w:pPr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2.0 Calendarización de guías tecnológicas</w:t>
            </w:r>
          </w:p>
        </w:tc>
        <w:tc>
          <w:tcPr>
            <w:tcW w:w="60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3882" w:rsidRPr="00C95A21" w:rsidRDefault="00B43882">
            <w:pPr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2.1 Propone calendarización.</w:t>
            </w:r>
          </w:p>
          <w:p w:rsidR="00B43882" w:rsidRPr="00C95A21" w:rsidRDefault="00B43882">
            <w:pPr>
              <w:widowControl w:val="0"/>
              <w:numPr>
                <w:ilvl w:val="0"/>
                <w:numId w:val="18"/>
              </w:numPr>
              <w:tabs>
                <w:tab w:val="clear" w:pos="720"/>
                <w:tab w:val="num" w:pos="761"/>
              </w:tabs>
              <w:suppressAutoHyphens/>
              <w:ind w:hanging="384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Programa Anual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jc w:val="left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Subdirección de Análisis e Información de Equipo Médico</w:t>
            </w:r>
          </w:p>
        </w:tc>
      </w:tr>
      <w:tr w:rsidR="00B43882" w:rsidRPr="00C95A21">
        <w:trPr>
          <w:jc w:val="center"/>
        </w:trPr>
        <w:tc>
          <w:tcPr>
            <w:tcW w:w="219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3882" w:rsidRPr="00C95A21" w:rsidRDefault="00B43882">
            <w:pPr>
              <w:pStyle w:val="BodyTextIndent"/>
              <w:snapToGrid w:val="0"/>
              <w:spacing w:before="60" w:after="60"/>
              <w:ind w:left="0" w:firstLine="0"/>
              <w:rPr>
                <w:rFonts w:ascii="Times New Roman" w:hAnsi="Times New Roman" w:cs="Times New Roman"/>
              </w:rPr>
            </w:pPr>
            <w:r w:rsidRPr="00C95A21">
              <w:t>3.0 Asignación de guías tecnológicas a desarrollar</w:t>
            </w:r>
          </w:p>
        </w:tc>
        <w:tc>
          <w:tcPr>
            <w:tcW w:w="602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spacing w:before="60" w:after="6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3.1 Acuerda con el Departamento de Cuidados Intensivos y Quirófano  la prioridad de la tecnología a desarrollar</w:t>
            </w:r>
          </w:p>
          <w:p w:rsidR="00B43882" w:rsidRPr="00C95A21" w:rsidRDefault="00B43882">
            <w:pPr>
              <w:snapToGrid w:val="0"/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3.2 Asigna guías a desarrollar por carga de trabajo y conocimiento del producto a las jefaturas correspondientes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pStyle w:val="BodyTextIndent"/>
              <w:snapToGrid w:val="0"/>
              <w:spacing w:before="60" w:after="60"/>
              <w:ind w:left="0" w:firstLine="0"/>
              <w:jc w:val="left"/>
              <w:rPr>
                <w:rFonts w:ascii="Times New Roman" w:hAnsi="Times New Roman" w:cs="Times New Roman"/>
              </w:rPr>
            </w:pPr>
            <w:r w:rsidRPr="00C95A21">
              <w:t>Subdirección de Análisis e Información de Equipo Médico</w:t>
            </w:r>
          </w:p>
        </w:tc>
      </w:tr>
      <w:tr w:rsidR="00B43882" w:rsidRPr="00C95A21">
        <w:trPr>
          <w:jc w:val="center"/>
        </w:trPr>
        <w:tc>
          <w:tcPr>
            <w:tcW w:w="219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4.0 Aprobación de calendarización</w:t>
            </w:r>
          </w:p>
        </w:tc>
        <w:tc>
          <w:tcPr>
            <w:tcW w:w="602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4.1 Aprueba la calendarización y guías tecnológicas a realizar basado en la problemática en salud.</w:t>
            </w:r>
          </w:p>
          <w:p w:rsidR="00B43882" w:rsidRPr="00C95A21" w:rsidRDefault="00B43882">
            <w:pPr>
              <w:snapToGrid w:val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¿Procede?</w:t>
            </w:r>
          </w:p>
          <w:p w:rsidR="00B43882" w:rsidRPr="00C95A21" w:rsidRDefault="00B43882">
            <w:pPr>
              <w:tabs>
                <w:tab w:val="left" w:pos="761"/>
              </w:tabs>
              <w:snapToGrid w:val="0"/>
              <w:spacing w:before="60" w:after="60"/>
              <w:ind w:left="336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No.- Regresa a la actividad 2.</w:t>
            </w:r>
          </w:p>
          <w:p w:rsidR="00B43882" w:rsidRPr="00C95A21" w:rsidRDefault="00B43882">
            <w:pPr>
              <w:tabs>
                <w:tab w:val="left" w:pos="761"/>
              </w:tabs>
              <w:snapToGrid w:val="0"/>
              <w:ind w:left="336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Sí.-  Continua procedimiento.</w:t>
            </w:r>
          </w:p>
          <w:p w:rsidR="00B43882" w:rsidRPr="00C95A21" w:rsidRDefault="00B43882">
            <w:pPr>
              <w:widowControl w:val="0"/>
              <w:numPr>
                <w:ilvl w:val="0"/>
                <w:numId w:val="19"/>
              </w:numPr>
              <w:tabs>
                <w:tab w:val="clear" w:pos="720"/>
                <w:tab w:val="num" w:pos="336"/>
                <w:tab w:val="left" w:pos="761"/>
              </w:tabs>
              <w:suppressAutoHyphens/>
              <w:snapToGrid w:val="0"/>
              <w:ind w:left="336" w:firstLine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Programa Anual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jc w:val="left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Dirección de Ingeniería Biomédica</w:t>
            </w:r>
          </w:p>
        </w:tc>
      </w:tr>
      <w:tr w:rsidR="00B43882" w:rsidRPr="00C95A21">
        <w:trPr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tabs>
                <w:tab w:val="left" w:pos="283"/>
              </w:tabs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5.0 Obtención de información y conocimiento de la tecnología</w:t>
            </w:r>
          </w:p>
          <w:p w:rsidR="00B43882" w:rsidRPr="00C95A21" w:rsidRDefault="00B43882">
            <w:pPr>
              <w:rPr>
                <w:sz w:val="22"/>
                <w:szCs w:val="22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43882" w:rsidRPr="00C95A21" w:rsidRDefault="00B43882">
            <w:pPr>
              <w:snapToGrid w:val="0"/>
              <w:spacing w:before="60" w:after="6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5.1 Revisar y analizar la información sobre tecnología recopilada durante la elaboración de las cédulas de especificaciones técnicas.</w:t>
            </w:r>
          </w:p>
          <w:p w:rsidR="00B43882" w:rsidRPr="00C95A21" w:rsidRDefault="00B43882">
            <w:pPr>
              <w:snapToGrid w:val="0"/>
              <w:spacing w:before="60" w:after="6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5.2 Buscar bibliografía adicional</w:t>
            </w:r>
          </w:p>
          <w:p w:rsidR="00B43882" w:rsidRPr="00C95A21" w:rsidRDefault="00B43882">
            <w:pPr>
              <w:snapToGrid w:val="0"/>
              <w:spacing w:before="60" w:after="6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5.3 Clasifica, analiza y sintetiza la información sobre la tecnología</w:t>
            </w:r>
          </w:p>
          <w:p w:rsidR="00B43882" w:rsidRPr="00C95A21" w:rsidRDefault="00B43882">
            <w:pPr>
              <w:snapToGrid w:val="0"/>
              <w:spacing w:before="60" w:after="6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5.4 Buscar normatividad</w:t>
            </w:r>
          </w:p>
          <w:p w:rsidR="00B43882" w:rsidRPr="00C95A21" w:rsidRDefault="00B43882">
            <w:pPr>
              <w:snapToGrid w:val="0"/>
              <w:spacing w:before="60" w:after="6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5.5 Buscar clasificación de riesgos</w:t>
            </w:r>
          </w:p>
          <w:p w:rsidR="00B43882" w:rsidRPr="00C95A21" w:rsidRDefault="00B43882">
            <w:pPr>
              <w:snapToGrid w:val="0"/>
              <w:spacing w:before="60" w:after="6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5.6 Revisar cédulas e incorporación</w:t>
            </w:r>
          </w:p>
          <w:p w:rsidR="00B43882" w:rsidRPr="00C95A21" w:rsidRDefault="00B43882">
            <w:pPr>
              <w:snapToGrid w:val="0"/>
              <w:spacing w:before="60" w:after="60"/>
              <w:rPr>
                <w:rFonts w:ascii="Times New Roman" w:hAnsi="Times New Roman" w:cs="Times New Roman"/>
              </w:rPr>
            </w:pPr>
            <w:r w:rsidRPr="00C95A21">
              <w:rPr>
                <w:sz w:val="22"/>
                <w:szCs w:val="22"/>
              </w:rPr>
              <w:t>5.7 Buscar datos de referencia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jc w:val="left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 xml:space="preserve">Departamento de Cuidados Intensivos y Quirófano </w:t>
            </w:r>
          </w:p>
        </w:tc>
      </w:tr>
      <w:tr w:rsidR="00B43882" w:rsidRPr="00C95A21">
        <w:trPr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tabs>
                <w:tab w:val="left" w:pos="283"/>
              </w:tabs>
              <w:rPr>
                <w:sz w:val="22"/>
                <w:szCs w:val="22"/>
              </w:rPr>
            </w:pPr>
          </w:p>
          <w:p w:rsidR="00B43882" w:rsidRPr="00C95A21" w:rsidRDefault="00B43882">
            <w:pPr>
              <w:tabs>
                <w:tab w:val="left" w:pos="283"/>
              </w:tabs>
              <w:jc w:val="left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6.0 Integración de guía tecnológica preliminar</w:t>
            </w:r>
          </w:p>
          <w:p w:rsidR="00B43882" w:rsidRPr="00C95A21" w:rsidRDefault="00B43882">
            <w:pPr>
              <w:tabs>
                <w:tab w:val="left" w:pos="283"/>
              </w:tabs>
              <w:rPr>
                <w:sz w:val="22"/>
                <w:szCs w:val="22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spacing w:before="60" w:after="6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6.1 Estructuración de información de acuerdo a detalle establecido</w:t>
            </w:r>
          </w:p>
          <w:p w:rsidR="00B43882" w:rsidRPr="00C95A21" w:rsidRDefault="00B43882">
            <w:pPr>
              <w:snapToGrid w:val="0"/>
              <w:spacing w:before="60" w:after="60"/>
              <w:rPr>
                <w:sz w:val="22"/>
                <w:szCs w:val="22"/>
              </w:rPr>
            </w:pPr>
          </w:p>
          <w:p w:rsidR="00B43882" w:rsidRPr="00C95A21" w:rsidRDefault="00B43882">
            <w:pPr>
              <w:snapToGrid w:val="0"/>
              <w:spacing w:before="60" w:after="60"/>
              <w:rPr>
                <w:sz w:val="22"/>
                <w:szCs w:val="22"/>
              </w:rPr>
            </w:pPr>
          </w:p>
          <w:p w:rsidR="00B43882" w:rsidRPr="00C95A21" w:rsidRDefault="00B43882">
            <w:pPr>
              <w:snapToGrid w:val="0"/>
              <w:spacing w:before="60" w:after="6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snapToGrid w:val="0"/>
              <w:jc w:val="left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 xml:space="preserve">Departamento de Cuidados Intensivos y Quirófano </w:t>
            </w:r>
          </w:p>
        </w:tc>
      </w:tr>
      <w:tr w:rsidR="00B43882" w:rsidRPr="00C95A21">
        <w:trPr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95A21">
              <w:rPr>
                <w:b/>
                <w:bCs/>
                <w:sz w:val="22"/>
                <w:szCs w:val="22"/>
              </w:rPr>
              <w:t>Secuencia de etapas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95A21">
              <w:rPr>
                <w:b/>
                <w:bCs/>
                <w:sz w:val="22"/>
                <w:szCs w:val="22"/>
              </w:rPr>
              <w:t>Actividad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C95A21">
              <w:rPr>
                <w:b/>
                <w:bCs/>
                <w:sz w:val="22"/>
                <w:szCs w:val="22"/>
              </w:rPr>
              <w:t>Responsable</w:t>
            </w:r>
          </w:p>
        </w:tc>
      </w:tr>
      <w:tr w:rsidR="00B43882" w:rsidRPr="00C95A21">
        <w:trPr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tabs>
                <w:tab w:val="left" w:pos="283"/>
              </w:tabs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7.0 Presentación de guía tecnológica preliminar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7.1 Revisa y aprueba guía tecnológica preliminar a jefe inmediato.</w:t>
            </w:r>
          </w:p>
          <w:p w:rsidR="00B43882" w:rsidRPr="00C95A21" w:rsidRDefault="00B43882">
            <w:pPr>
              <w:snapToGrid w:val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¿Procede?</w:t>
            </w:r>
          </w:p>
          <w:p w:rsidR="00B43882" w:rsidRPr="00C95A21" w:rsidRDefault="00B43882">
            <w:pPr>
              <w:tabs>
                <w:tab w:val="left" w:pos="796"/>
              </w:tabs>
              <w:snapToGrid w:val="0"/>
              <w:spacing w:before="60" w:after="60"/>
              <w:ind w:left="336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No.- Regresa a la actividad 5.</w:t>
            </w:r>
          </w:p>
          <w:p w:rsidR="00B43882" w:rsidRPr="00C95A21" w:rsidRDefault="00B43882">
            <w:pPr>
              <w:tabs>
                <w:tab w:val="left" w:pos="0"/>
                <w:tab w:val="left" w:pos="796"/>
                <w:tab w:val="left" w:pos="1136"/>
              </w:tabs>
              <w:snapToGrid w:val="0"/>
              <w:ind w:left="336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Sí.- Continua procedimiento.</w:t>
            </w:r>
          </w:p>
          <w:p w:rsidR="00B43882" w:rsidRPr="00C95A21" w:rsidRDefault="00B4388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336"/>
                <w:tab w:val="left" w:pos="796"/>
              </w:tabs>
              <w:suppressAutoHyphens/>
              <w:snapToGrid w:val="0"/>
              <w:ind w:left="336" w:firstLine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 xml:space="preserve"> Guía Tecnológica preliminar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jc w:val="left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Subdirección de Análisis e Información de Equipo Médico</w:t>
            </w:r>
          </w:p>
        </w:tc>
      </w:tr>
      <w:tr w:rsidR="00B43882" w:rsidRPr="00C95A21">
        <w:trPr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tabs>
                <w:tab w:val="left" w:pos="283"/>
              </w:tabs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8.0 Autorización de guía tecnológica preliminar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tabs>
                <w:tab w:val="left" w:pos="1136"/>
              </w:tabs>
              <w:snapToGrid w:val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8.1 Revisa guía tecnológica para autorización</w:t>
            </w:r>
          </w:p>
          <w:p w:rsidR="00B43882" w:rsidRPr="00C95A21" w:rsidRDefault="00B43882">
            <w:pPr>
              <w:tabs>
                <w:tab w:val="left" w:pos="1136"/>
              </w:tabs>
              <w:snapToGrid w:val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¿Procede?</w:t>
            </w:r>
          </w:p>
          <w:p w:rsidR="00B43882" w:rsidRPr="00C95A21" w:rsidRDefault="00B43882">
            <w:pPr>
              <w:tabs>
                <w:tab w:val="left" w:pos="903"/>
              </w:tabs>
              <w:snapToGrid w:val="0"/>
              <w:ind w:left="336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No.- Regresa a la actividad 5.</w:t>
            </w:r>
          </w:p>
          <w:p w:rsidR="00B43882" w:rsidRPr="00C95A21" w:rsidRDefault="00B43882">
            <w:pPr>
              <w:tabs>
                <w:tab w:val="left" w:pos="903"/>
              </w:tabs>
              <w:snapToGrid w:val="0"/>
              <w:ind w:left="336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Sí.- Continua procedimiento</w:t>
            </w:r>
          </w:p>
          <w:p w:rsidR="00B43882" w:rsidRPr="00C95A21" w:rsidRDefault="00B43882">
            <w:pPr>
              <w:widowControl w:val="0"/>
              <w:numPr>
                <w:ilvl w:val="0"/>
                <w:numId w:val="17"/>
              </w:numPr>
              <w:tabs>
                <w:tab w:val="left" w:pos="336"/>
                <w:tab w:val="left" w:pos="903"/>
              </w:tabs>
              <w:suppressAutoHyphens/>
              <w:snapToGrid w:val="0"/>
              <w:ind w:left="336" w:firstLine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Guía Tecnológica preliminar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jc w:val="left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Dirección de Ingeniería Biomédica</w:t>
            </w:r>
          </w:p>
        </w:tc>
      </w:tr>
      <w:tr w:rsidR="00B43882" w:rsidRPr="00C95A21">
        <w:trPr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tabs>
                <w:tab w:val="left" w:pos="283"/>
              </w:tabs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9.0 Entrega de guía tecnológica para difusión en página CENETEC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tabs>
                <w:tab w:val="left" w:pos="1136"/>
              </w:tabs>
              <w:snapToGrid w:val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 xml:space="preserve">9.1 Autoriza la guía tecnológica se entrega al responsable asignado por el área administrativa para cargarla en la página de Internet de CENETEC con copia al Director de Ingeniería Biomédica. </w:t>
            </w:r>
          </w:p>
          <w:p w:rsidR="00B43882" w:rsidRPr="00C95A21" w:rsidRDefault="00B43882">
            <w:pPr>
              <w:numPr>
                <w:ilvl w:val="0"/>
                <w:numId w:val="19"/>
              </w:numPr>
              <w:tabs>
                <w:tab w:val="left" w:pos="1136"/>
              </w:tabs>
              <w:snapToGrid w:val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Guía Tecnológica preliminar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jc w:val="left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Subdirección de Análisis e Información de Equipo Médico</w:t>
            </w:r>
          </w:p>
        </w:tc>
      </w:tr>
      <w:tr w:rsidR="00B43882" w:rsidRPr="00C95A21">
        <w:trPr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tabs>
                <w:tab w:val="left" w:pos="283"/>
              </w:tabs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10.0 Verificación de carga en página de CENETEC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tabs>
                <w:tab w:val="left" w:pos="1136"/>
              </w:tabs>
              <w:snapToGrid w:val="0"/>
              <w:rPr>
                <w:rFonts w:ascii="Times New Roman" w:hAnsi="Times New Roman" w:cs="Times New Roman"/>
              </w:rPr>
            </w:pPr>
            <w:r w:rsidRPr="00C95A21">
              <w:rPr>
                <w:sz w:val="22"/>
                <w:szCs w:val="22"/>
              </w:rPr>
              <w:t>10.1 Pasadas 48 horas hábiles se verificará la incorporación de la guía tecnológica en la página de Internet de CENETEC y se dará aviso del status a la Subdirección de Análisis e información de Equipo Médico.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 xml:space="preserve">Departamento de Cuidados Intensivos y Quirófano </w:t>
            </w:r>
          </w:p>
        </w:tc>
      </w:tr>
      <w:tr w:rsidR="00B43882" w:rsidRPr="00C95A21">
        <w:trPr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11.0 Actualización de base de datos y del registro de la ponderación del desarrollo</w:t>
            </w: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11.1 Cargada la guía tecnológica en la página de Internet de CENETEC se actualizarán los registros correspondientes  a la base de datos y a la ponderación del desarrollo de la guía enviando copia del archivo electrónico a la Dirección de Ingeniería Biomédica.</w:t>
            </w:r>
          </w:p>
          <w:p w:rsidR="00B43882" w:rsidRPr="00C95A21" w:rsidRDefault="00B43882">
            <w:pPr>
              <w:widowControl w:val="0"/>
              <w:numPr>
                <w:ilvl w:val="0"/>
                <w:numId w:val="17"/>
              </w:numPr>
              <w:tabs>
                <w:tab w:val="clear" w:pos="1440"/>
                <w:tab w:val="num" w:pos="903"/>
              </w:tabs>
              <w:suppressAutoHyphens/>
              <w:snapToGrid w:val="0"/>
              <w:ind w:hanging="1104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Registro de Guías Tecnológicas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jc w:val="left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Subdirección de Análisis e Información de Equipo Médico</w:t>
            </w:r>
          </w:p>
        </w:tc>
      </w:tr>
      <w:tr w:rsidR="00B43882" w:rsidRPr="00C95A21">
        <w:trPr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0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jc w:val="center"/>
              <w:rPr>
                <w:sz w:val="22"/>
                <w:szCs w:val="22"/>
              </w:rPr>
            </w:pPr>
            <w:r w:rsidRPr="00C95A21">
              <w:rPr>
                <w:b/>
                <w:bCs/>
                <w:sz w:val="22"/>
                <w:szCs w:val="22"/>
              </w:rPr>
              <w:t>TERMINA PROCEDIMIENTO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882" w:rsidRPr="00C95A21" w:rsidRDefault="00B4388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B43882" w:rsidRDefault="00B43882">
      <w:pPr>
        <w:rPr>
          <w:rFonts w:ascii="Times New Roman" w:hAnsi="Times New Roman" w:cs="Times New Roman"/>
        </w:rPr>
      </w:pPr>
    </w:p>
    <w:p w:rsidR="00B43882" w:rsidRDefault="00B43882">
      <w:pPr>
        <w:rPr>
          <w:rFonts w:ascii="Times New Roman" w:hAnsi="Times New Roman" w:cs="Times New Roman"/>
        </w:rPr>
      </w:pPr>
    </w:p>
    <w:p w:rsidR="00B43882" w:rsidRDefault="00B43882">
      <w:pPr>
        <w:rPr>
          <w:rFonts w:ascii="Times New Roman" w:hAnsi="Times New Roman" w:cs="Times New Roman"/>
        </w:rPr>
      </w:pPr>
    </w:p>
    <w:p w:rsidR="00B43882" w:rsidRDefault="00B43882">
      <w:pPr>
        <w:rPr>
          <w:rFonts w:ascii="Times New Roman" w:hAnsi="Times New Roman" w:cs="Times New Roman"/>
        </w:rPr>
      </w:pPr>
    </w:p>
    <w:p w:rsidR="00B43882" w:rsidRDefault="00B43882">
      <w:pPr>
        <w:rPr>
          <w:rFonts w:ascii="Times New Roman" w:hAnsi="Times New Roman" w:cs="Times New Roman"/>
        </w:rPr>
      </w:pPr>
    </w:p>
    <w:p w:rsidR="00B43882" w:rsidRDefault="00B43882">
      <w:pPr>
        <w:rPr>
          <w:rFonts w:ascii="Times New Roman" w:hAnsi="Times New Roman" w:cs="Times New Roman"/>
        </w:rPr>
      </w:pPr>
    </w:p>
    <w:p w:rsidR="00B43882" w:rsidRDefault="00B43882">
      <w:pPr>
        <w:rPr>
          <w:rFonts w:ascii="Times New Roman" w:hAnsi="Times New Roman" w:cs="Times New Roman"/>
        </w:rPr>
      </w:pPr>
    </w:p>
    <w:p w:rsidR="00B43882" w:rsidRDefault="00B43882">
      <w:pPr>
        <w:rPr>
          <w:rFonts w:ascii="Times New Roman" w:hAnsi="Times New Roman" w:cs="Times New Roman"/>
        </w:rPr>
      </w:pPr>
    </w:p>
    <w:p w:rsidR="00B43882" w:rsidRDefault="00B43882" w:rsidP="00723A4A">
      <w:pPr>
        <w:pStyle w:val="Heading1"/>
      </w:pPr>
      <w:r>
        <w:t>Diagrama de Flujo</w:t>
      </w:r>
    </w:p>
    <w:p w:rsidR="00B43882" w:rsidRDefault="00B43882">
      <w:pPr>
        <w:ind w:left="-709"/>
        <w:jc w:val="center"/>
        <w:rPr>
          <w:rFonts w:ascii="Times New Roman" w:hAnsi="Times New Roman" w:cs="Times New Roman"/>
        </w:rPr>
      </w:pPr>
      <w:r w:rsidRPr="00121C24">
        <w:rPr>
          <w:rFonts w:ascii="Times New Roman" w:hAnsi="Times New Roman" w:cs="Times New Roman"/>
        </w:rPr>
        <w:object w:dxaOrig="11536" w:dyaOrig="16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90.5pt;height:466.5pt" o:ole="">
            <v:imagedata r:id="rId7" o:title=""/>
          </v:shape>
          <o:OLEObject Type="Embed" ProgID="Visio.Drawing.11" ShapeID="_x0000_i1029" DrawAspect="Content" ObjectID="_1406739830" r:id="rId8"/>
        </w:object>
      </w:r>
    </w:p>
    <w:p w:rsidR="00B43882" w:rsidRDefault="00B43882" w:rsidP="00723A4A">
      <w:pPr>
        <w:pStyle w:val="Heading1"/>
        <w:numPr>
          <w:ilvl w:val="0"/>
          <w:numId w:val="0"/>
        </w:numPr>
        <w:ind w:left="360"/>
      </w:pPr>
    </w:p>
    <w:p w:rsidR="00B43882" w:rsidRDefault="00B43882"/>
    <w:p w:rsidR="00B43882" w:rsidRDefault="00B43882"/>
    <w:p w:rsidR="00B43882" w:rsidRDefault="00B43882" w:rsidP="00723A4A">
      <w:pPr>
        <w:pStyle w:val="Heading1"/>
      </w:pPr>
      <w:r>
        <w:t>Documentos de Referencia</w:t>
      </w:r>
    </w:p>
    <w:p w:rsidR="00B43882" w:rsidRDefault="00B43882">
      <w:pPr>
        <w:rPr>
          <w:rFonts w:ascii="Times New Roman" w:hAnsi="Times New Roman" w:cs="Times New Roman"/>
        </w:rPr>
      </w:pPr>
    </w:p>
    <w:tbl>
      <w:tblPr>
        <w:tblW w:w="1030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7158"/>
        <w:gridCol w:w="3148"/>
      </w:tblGrid>
      <w:tr w:rsidR="00B43882" w:rsidRPr="00C95A21">
        <w:trPr>
          <w:trHeight w:val="255"/>
          <w:jc w:val="center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C95A21">
              <w:rPr>
                <w:b/>
                <w:bCs/>
                <w:sz w:val="22"/>
                <w:szCs w:val="22"/>
              </w:rPr>
              <w:t>Documentos</w:t>
            </w:r>
          </w:p>
        </w:tc>
        <w:tc>
          <w:tcPr>
            <w:tcW w:w="31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3882" w:rsidRPr="00C95A21" w:rsidRDefault="00B43882">
            <w:pPr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C95A21">
              <w:rPr>
                <w:b/>
                <w:bCs/>
                <w:sz w:val="22"/>
                <w:szCs w:val="22"/>
              </w:rPr>
              <w:t>Código (cuando aplique)</w:t>
            </w:r>
          </w:p>
        </w:tc>
      </w:tr>
      <w:tr w:rsidR="00B43882" w:rsidRPr="00C95A21">
        <w:trPr>
          <w:trHeight w:val="255"/>
          <w:jc w:val="center"/>
        </w:trPr>
        <w:tc>
          <w:tcPr>
            <w:tcW w:w="71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43882" w:rsidRPr="00C95A21" w:rsidRDefault="00B43882">
            <w:pPr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Reglamento Interno de la Secretaría de Salud, 10 de Enero 2011</w:t>
            </w:r>
          </w:p>
        </w:tc>
        <w:tc>
          <w:tcPr>
            <w:tcW w:w="31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3882" w:rsidRPr="00C95A21" w:rsidRDefault="00B43882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No Aplica</w:t>
            </w:r>
          </w:p>
        </w:tc>
      </w:tr>
      <w:tr w:rsidR="00B43882" w:rsidRPr="00C95A21">
        <w:trPr>
          <w:trHeight w:val="255"/>
          <w:jc w:val="center"/>
        </w:trPr>
        <w:tc>
          <w:tcPr>
            <w:tcW w:w="71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43882" w:rsidRPr="00C95A21" w:rsidRDefault="00B43882">
            <w:pPr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Manual de Organización del Centro Nacional de Excelencia Tecnológica en Salud, de 2012</w:t>
            </w:r>
          </w:p>
        </w:tc>
        <w:tc>
          <w:tcPr>
            <w:tcW w:w="31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3882" w:rsidRPr="00C95A21" w:rsidRDefault="00B43882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No Aplica</w:t>
            </w:r>
          </w:p>
        </w:tc>
      </w:tr>
      <w:tr w:rsidR="00B43882" w:rsidRPr="00C95A21">
        <w:trPr>
          <w:trHeight w:val="255"/>
          <w:jc w:val="center"/>
        </w:trPr>
        <w:tc>
          <w:tcPr>
            <w:tcW w:w="71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43882" w:rsidRPr="00C95A21" w:rsidRDefault="00B43882">
            <w:pPr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Manual de procedimientos para elaboración de Cédulas de Especificaciones Técnicas del CENETEC, 2006</w:t>
            </w:r>
          </w:p>
        </w:tc>
        <w:tc>
          <w:tcPr>
            <w:tcW w:w="31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3882" w:rsidRPr="00C95A21" w:rsidRDefault="00B43882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No Aplica</w:t>
            </w:r>
          </w:p>
        </w:tc>
      </w:tr>
      <w:tr w:rsidR="00B43882" w:rsidRPr="00C95A21">
        <w:trPr>
          <w:trHeight w:val="255"/>
          <w:jc w:val="center"/>
        </w:trPr>
        <w:tc>
          <w:tcPr>
            <w:tcW w:w="715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43882" w:rsidRPr="00C95A21" w:rsidRDefault="00B43882">
            <w:pPr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Ley de Adquisiciones, Arrendamientos y Servicios del Sector Público, 2012</w:t>
            </w:r>
          </w:p>
        </w:tc>
        <w:tc>
          <w:tcPr>
            <w:tcW w:w="31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3882" w:rsidRPr="00C95A21" w:rsidRDefault="00B43882">
            <w:pPr>
              <w:snapToGri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No Aplica</w:t>
            </w:r>
          </w:p>
        </w:tc>
      </w:tr>
    </w:tbl>
    <w:p w:rsidR="00B43882" w:rsidRDefault="00B43882" w:rsidP="00723A4A">
      <w:pPr>
        <w:pStyle w:val="Heading1"/>
      </w:pPr>
      <w:r>
        <w:t>Registros</w:t>
      </w:r>
    </w:p>
    <w:p w:rsidR="00B43882" w:rsidRDefault="00B43882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764"/>
        <w:gridCol w:w="1559"/>
        <w:gridCol w:w="3118"/>
        <w:gridCol w:w="2885"/>
      </w:tblGrid>
      <w:tr w:rsidR="00B43882" w:rsidRPr="00C95A21">
        <w:trPr>
          <w:jc w:val="center"/>
        </w:trPr>
        <w:tc>
          <w:tcPr>
            <w:tcW w:w="27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C95A21">
              <w:rPr>
                <w:b/>
                <w:bCs/>
                <w:sz w:val="22"/>
                <w:szCs w:val="22"/>
              </w:rPr>
              <w:t>Registros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C95A21">
              <w:rPr>
                <w:b/>
                <w:bCs/>
                <w:sz w:val="22"/>
                <w:szCs w:val="22"/>
              </w:rPr>
              <w:t>Tiempo de conservación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C95A21">
              <w:rPr>
                <w:b/>
                <w:bCs/>
                <w:sz w:val="22"/>
                <w:szCs w:val="22"/>
              </w:rPr>
              <w:t>Responsable de conservarlo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3882" w:rsidRPr="00C95A21" w:rsidRDefault="00B43882">
            <w:pPr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C95A21">
              <w:rPr>
                <w:b/>
                <w:bCs/>
                <w:sz w:val="22"/>
                <w:szCs w:val="22"/>
              </w:rPr>
              <w:t>Código de registro o identificación única</w:t>
            </w:r>
          </w:p>
        </w:tc>
      </w:tr>
      <w:tr w:rsidR="00B43882" w:rsidRPr="00C95A21">
        <w:trPr>
          <w:trHeight w:val="75"/>
          <w:jc w:val="center"/>
        </w:trPr>
        <w:tc>
          <w:tcPr>
            <w:tcW w:w="276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Guía Tecnológica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jc w:val="center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5 años y hasta actualizar</w:t>
            </w:r>
          </w:p>
        </w:tc>
        <w:tc>
          <w:tcPr>
            <w:tcW w:w="31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43882" w:rsidRPr="00C95A21" w:rsidRDefault="00B43882">
            <w:pPr>
              <w:snapToGrid w:val="0"/>
              <w:jc w:val="center"/>
              <w:rPr>
                <w:sz w:val="22"/>
                <w:szCs w:val="22"/>
              </w:rPr>
            </w:pPr>
            <w:r w:rsidRPr="00C95A21">
              <w:rPr>
                <w:sz w:val="22"/>
                <w:szCs w:val="22"/>
              </w:rPr>
              <w:t>Subdirección de Análisis e Información de Equipo Médico</w:t>
            </w:r>
          </w:p>
        </w:tc>
        <w:tc>
          <w:tcPr>
            <w:tcW w:w="28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3882" w:rsidRPr="00C95A21" w:rsidRDefault="00B43882">
            <w:pPr>
              <w:snapToGrid w:val="0"/>
              <w:spacing w:before="60" w:after="60"/>
              <w:jc w:val="center"/>
              <w:rPr>
                <w:color w:val="000000"/>
                <w:sz w:val="22"/>
                <w:szCs w:val="22"/>
              </w:rPr>
            </w:pPr>
            <w:r w:rsidRPr="00C95A21">
              <w:rPr>
                <w:color w:val="000000"/>
                <w:sz w:val="22"/>
                <w:szCs w:val="22"/>
              </w:rPr>
              <w:t>Número de guía tecnológica</w:t>
            </w:r>
          </w:p>
        </w:tc>
      </w:tr>
    </w:tbl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>
      <w:pPr>
        <w:autoSpaceDE w:val="0"/>
        <w:autoSpaceDN w:val="0"/>
        <w:adjustRightInd w:val="0"/>
        <w:jc w:val="left"/>
        <w:rPr>
          <w:lang w:val="es-ES"/>
        </w:rPr>
      </w:pPr>
      <w:r>
        <w:rPr>
          <w:color w:val="000000"/>
          <w:sz w:val="22"/>
          <w:szCs w:val="22"/>
          <w:vertAlign w:val="superscript"/>
        </w:rPr>
        <w:t xml:space="preserve">1 </w:t>
      </w:r>
      <w:r>
        <w:rPr>
          <w:lang w:val="es-ES"/>
        </w:rPr>
        <w:t>REGLAMENTO Interior de la Comisión Interinstitucional del Cuadro Básico y Catálogo de Insumos del Sector Salud, publicado en el Diario Oficial de la Federación el 22 de junio de 2011</w:t>
      </w: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Default="00B43882" w:rsidP="00723A4A">
      <w:pPr>
        <w:pStyle w:val="Heading1"/>
      </w:pPr>
      <w:r>
        <w:t>Glosario</w:t>
      </w:r>
    </w:p>
    <w:p w:rsidR="00B43882" w:rsidRDefault="00B43882" w:rsidP="00723A4A">
      <w:pPr>
        <w:rPr>
          <w:b/>
          <w:bCs/>
          <w:kern w:val="32"/>
          <w:sz w:val="22"/>
          <w:szCs w:val="22"/>
        </w:rPr>
      </w:pPr>
    </w:p>
    <w:p w:rsidR="00B43882" w:rsidRDefault="00B43882" w:rsidP="00723A4A">
      <w:pPr>
        <w:pStyle w:val="ListParagraph"/>
        <w:numPr>
          <w:ilvl w:val="0"/>
          <w:numId w:val="19"/>
        </w:num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Accesorios de equipos médicos.-</w:t>
      </w:r>
      <w:r>
        <w:rPr>
          <w:color w:val="000000"/>
          <w:sz w:val="22"/>
          <w:szCs w:val="22"/>
        </w:rPr>
        <w:t xml:space="preserve"> Los elementos complementarios o auxiliares, cuyo objetivo es incrementar las funciones o productividad de un dispositivo médico y que permiten mejorar la prestación del servicio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>.</w:t>
      </w:r>
    </w:p>
    <w:p w:rsidR="00B43882" w:rsidRDefault="00B43882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</w:p>
    <w:p w:rsidR="00B43882" w:rsidRPr="00723A4A" w:rsidRDefault="00B43882">
      <w:pPr>
        <w:numPr>
          <w:ilvl w:val="0"/>
          <w:numId w:val="21"/>
        </w:numPr>
        <w:rPr>
          <w:kern w:val="32"/>
          <w:sz w:val="22"/>
          <w:szCs w:val="22"/>
        </w:rPr>
      </w:pPr>
      <w:r w:rsidRPr="00723A4A">
        <w:rPr>
          <w:b/>
          <w:bCs/>
          <w:sz w:val="22"/>
          <w:szCs w:val="22"/>
        </w:rPr>
        <w:t>Cédulas de Especificaciones Técnicas</w:t>
      </w:r>
      <w:r w:rsidRPr="00723A4A">
        <w:rPr>
          <w:sz w:val="22"/>
          <w:szCs w:val="22"/>
        </w:rPr>
        <w:t>: Documento que puede ser utilizado durante el proceso de adquisiciones para seleccionar la tecnología de manera apropiada y de acuerdo a las necesidades de cada Institución, ya que describen de manera detallada las características técnicas específicas para cada equipo; así como información relativa a normas, accesorios para su funcionamiento, consumibles, refacciones, entre otros. Éstas serán descritas en detalle en el apartado 6, inciso c.</w:t>
      </w:r>
    </w:p>
    <w:p w:rsidR="00B43882" w:rsidRPr="00723A4A" w:rsidRDefault="00B43882">
      <w:pPr>
        <w:ind w:left="720"/>
        <w:rPr>
          <w:kern w:val="32"/>
          <w:sz w:val="22"/>
          <w:szCs w:val="22"/>
        </w:rPr>
      </w:pPr>
    </w:p>
    <w:p w:rsidR="00B43882" w:rsidRPr="00723A4A" w:rsidRDefault="00B43882">
      <w:pPr>
        <w:numPr>
          <w:ilvl w:val="0"/>
          <w:numId w:val="21"/>
        </w:numPr>
        <w:autoSpaceDE w:val="0"/>
        <w:autoSpaceDN w:val="0"/>
        <w:adjustRightInd w:val="0"/>
        <w:jc w:val="left"/>
        <w:rPr>
          <w:sz w:val="22"/>
          <w:szCs w:val="22"/>
        </w:rPr>
      </w:pPr>
      <w:r w:rsidRPr="00723A4A">
        <w:rPr>
          <w:b/>
          <w:bCs/>
          <w:color w:val="000000"/>
          <w:sz w:val="22"/>
          <w:szCs w:val="22"/>
        </w:rPr>
        <w:t>Consumibles:</w:t>
      </w:r>
      <w:r w:rsidRPr="00723A4A">
        <w:rPr>
          <w:color w:val="000000"/>
          <w:sz w:val="22"/>
          <w:szCs w:val="22"/>
        </w:rPr>
        <w:t xml:space="preserve"> </w:t>
      </w:r>
      <w:r w:rsidRPr="00723A4A">
        <w:rPr>
          <w:sz w:val="22"/>
          <w:szCs w:val="22"/>
        </w:rPr>
        <w:t>Los materiales desechables necesarios para que el insumo realice sus funciones conforme a su intención de uso que pierden sus propiedades o características de origen después de usarse y que son de consumo repetitivo.</w:t>
      </w:r>
    </w:p>
    <w:p w:rsidR="00B43882" w:rsidRPr="00723A4A" w:rsidRDefault="00B43882">
      <w:pPr>
        <w:numPr>
          <w:ilvl w:val="0"/>
          <w:numId w:val="21"/>
        </w:numPr>
        <w:rPr>
          <w:sz w:val="22"/>
          <w:szCs w:val="22"/>
          <w:lang w:val="es-ES_tradnl" w:eastAsia="ar-SA"/>
        </w:rPr>
      </w:pPr>
      <w:r w:rsidRPr="00723A4A">
        <w:rPr>
          <w:b/>
          <w:bCs/>
          <w:kern w:val="32"/>
          <w:sz w:val="22"/>
          <w:szCs w:val="22"/>
        </w:rPr>
        <w:t>ECRI:</w:t>
      </w:r>
      <w:r w:rsidRPr="00723A4A">
        <w:rPr>
          <w:kern w:val="32"/>
          <w:sz w:val="22"/>
          <w:szCs w:val="22"/>
        </w:rPr>
        <w:t xml:space="preserve"> (</w:t>
      </w:r>
      <w:r w:rsidRPr="00723A4A">
        <w:rPr>
          <w:color w:val="000000"/>
          <w:sz w:val="22"/>
          <w:szCs w:val="22"/>
        </w:rPr>
        <w:t xml:space="preserve">Emergency Care Research Institute) agencia de investigaciones en el sector de la salud, independiente y sin fines de lucro, colaboradora de la Organización Panamericana de la Salud y de la Organización Mundial de la Salud. </w:t>
      </w:r>
    </w:p>
    <w:p w:rsidR="00B43882" w:rsidRPr="00723A4A" w:rsidRDefault="00B43882">
      <w:pPr>
        <w:ind w:left="720"/>
        <w:rPr>
          <w:sz w:val="22"/>
          <w:szCs w:val="22"/>
          <w:lang w:val="es-ES_tradnl" w:eastAsia="ar-SA"/>
        </w:rPr>
      </w:pPr>
    </w:p>
    <w:p w:rsidR="00B43882" w:rsidRPr="00723A4A" w:rsidRDefault="00B43882">
      <w:pPr>
        <w:numPr>
          <w:ilvl w:val="0"/>
          <w:numId w:val="21"/>
        </w:numPr>
        <w:rPr>
          <w:sz w:val="22"/>
          <w:szCs w:val="22"/>
          <w:lang w:val="es-ES_tradnl" w:eastAsia="ar-SA"/>
        </w:rPr>
      </w:pPr>
      <w:r w:rsidRPr="00723A4A">
        <w:rPr>
          <w:b/>
          <w:bCs/>
          <w:sz w:val="22"/>
          <w:szCs w:val="22"/>
        </w:rPr>
        <w:t>Equipo médico o dispositivo</w:t>
      </w:r>
      <w:r w:rsidRPr="00723A4A">
        <w:rPr>
          <w:sz w:val="22"/>
          <w:szCs w:val="22"/>
        </w:rPr>
        <w:t>: “S</w:t>
      </w:r>
      <w:r w:rsidRPr="00723A4A">
        <w:rPr>
          <w:sz w:val="22"/>
          <w:szCs w:val="22"/>
          <w:lang w:val="es-ES_tradnl" w:eastAsia="ar-SA"/>
        </w:rPr>
        <w:t xml:space="preserve">e entiende cualquier instrumento, equipo, herramienta, máquina, aparato, implante, reactivo o calibrador para uso diagnóstico </w:t>
      </w:r>
      <w:r w:rsidRPr="00723A4A">
        <w:rPr>
          <w:i/>
          <w:iCs/>
          <w:sz w:val="22"/>
          <w:szCs w:val="22"/>
          <w:lang w:val="es-ES_tradnl" w:eastAsia="ar-SA"/>
        </w:rPr>
        <w:t>in vitro</w:t>
      </w:r>
      <w:r w:rsidRPr="00723A4A">
        <w:rPr>
          <w:sz w:val="22"/>
          <w:szCs w:val="22"/>
          <w:lang w:val="es-ES_tradnl" w:eastAsia="ar-SA"/>
        </w:rPr>
        <w:t>, software, sustancia u otro artículo similar o relacionado:</w:t>
      </w:r>
      <w:bookmarkStart w:id="1" w:name="PAHOMTS0000055E"/>
      <w:bookmarkEnd w:id="1"/>
    </w:p>
    <w:p w:rsidR="00B43882" w:rsidRPr="00723A4A" w:rsidRDefault="00B43882">
      <w:pPr>
        <w:ind w:left="708"/>
        <w:rPr>
          <w:sz w:val="22"/>
          <w:szCs w:val="22"/>
          <w:lang w:val="es-ES_tradnl" w:eastAsia="ar-SA"/>
        </w:rPr>
      </w:pPr>
      <w:r w:rsidRPr="00723A4A">
        <w:rPr>
          <w:sz w:val="22"/>
          <w:szCs w:val="22"/>
          <w:lang w:val="es-ES_tradnl" w:eastAsia="ar-SA"/>
        </w:rPr>
        <w:t>Que el fabricante ha propuesto para que sea utilizado en seres humanos, solo o en combinación, para una o varias finalidades específicas en materia de:</w:t>
      </w:r>
      <w:bookmarkStart w:id="2" w:name="PAHOMTS0000056E"/>
      <w:bookmarkEnd w:id="2"/>
    </w:p>
    <w:p w:rsidR="00B43882" w:rsidRPr="00723A4A" w:rsidRDefault="00B43882">
      <w:pPr>
        <w:pStyle w:val="Textosinformato1"/>
        <w:numPr>
          <w:ilvl w:val="0"/>
          <w:numId w:val="23"/>
        </w:numPr>
        <w:tabs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723A4A">
        <w:rPr>
          <w:rFonts w:ascii="Arial" w:hAnsi="Arial" w:cs="Arial"/>
          <w:sz w:val="22"/>
          <w:szCs w:val="22"/>
        </w:rPr>
        <w:t>diagnóstico, prevención, vigilancia, tratamiento o alivio de las enfermedades,</w:t>
      </w:r>
      <w:bookmarkStart w:id="3" w:name="PAHOMTS0000057E"/>
      <w:bookmarkEnd w:id="3"/>
    </w:p>
    <w:p w:rsidR="00B43882" w:rsidRPr="00723A4A" w:rsidRDefault="00B43882">
      <w:pPr>
        <w:pStyle w:val="Textosinformato1"/>
        <w:numPr>
          <w:ilvl w:val="0"/>
          <w:numId w:val="23"/>
        </w:numPr>
        <w:tabs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bookmarkStart w:id="4" w:name="PAHOMTS0000058B"/>
      <w:bookmarkEnd w:id="4"/>
      <w:r w:rsidRPr="00723A4A">
        <w:rPr>
          <w:rFonts w:ascii="Arial" w:hAnsi="Arial" w:cs="Arial"/>
          <w:sz w:val="22"/>
          <w:szCs w:val="22"/>
        </w:rPr>
        <w:t>diagnóstico, vigilancia, tratamiento, alivio o compensación de las lesiones,</w:t>
      </w:r>
      <w:bookmarkStart w:id="5" w:name="PAHOMTS0000058E"/>
      <w:bookmarkEnd w:id="5"/>
    </w:p>
    <w:p w:rsidR="00B43882" w:rsidRPr="00723A4A" w:rsidRDefault="00B43882">
      <w:pPr>
        <w:pStyle w:val="Textosinformato1"/>
        <w:numPr>
          <w:ilvl w:val="0"/>
          <w:numId w:val="23"/>
        </w:numPr>
        <w:tabs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bookmarkStart w:id="6" w:name="PAHOMTS0000059B"/>
      <w:bookmarkEnd w:id="6"/>
      <w:r w:rsidRPr="00723A4A">
        <w:rPr>
          <w:rFonts w:ascii="Arial" w:hAnsi="Arial" w:cs="Arial"/>
          <w:sz w:val="22"/>
          <w:szCs w:val="22"/>
        </w:rPr>
        <w:t>investigación, sustitución, modificación o apoyo de la anatomía o de un proceso fisiológico,</w:t>
      </w:r>
      <w:bookmarkStart w:id="7" w:name="PAHOMTS0000059E"/>
      <w:bookmarkEnd w:id="7"/>
    </w:p>
    <w:p w:rsidR="00B43882" w:rsidRPr="00723A4A" w:rsidRDefault="00B43882">
      <w:pPr>
        <w:pStyle w:val="Textosinformato1"/>
        <w:numPr>
          <w:ilvl w:val="0"/>
          <w:numId w:val="23"/>
        </w:numPr>
        <w:tabs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bookmarkStart w:id="8" w:name="PAHOMTS0000060B"/>
      <w:bookmarkEnd w:id="8"/>
      <w:r w:rsidRPr="00723A4A">
        <w:rPr>
          <w:rFonts w:ascii="Arial" w:hAnsi="Arial" w:cs="Arial"/>
          <w:sz w:val="22"/>
          <w:szCs w:val="22"/>
        </w:rPr>
        <w:t>apoyo o mantenimiento de la vida,</w:t>
      </w:r>
      <w:bookmarkStart w:id="9" w:name="PAHOMTS0000060E"/>
      <w:bookmarkEnd w:id="9"/>
    </w:p>
    <w:p w:rsidR="00B43882" w:rsidRPr="00723A4A" w:rsidRDefault="00B43882">
      <w:pPr>
        <w:pStyle w:val="Textosinformato1"/>
        <w:numPr>
          <w:ilvl w:val="0"/>
          <w:numId w:val="23"/>
        </w:numPr>
        <w:tabs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bookmarkStart w:id="10" w:name="PAHOMTS0000061B"/>
      <w:bookmarkEnd w:id="10"/>
      <w:r w:rsidRPr="00723A4A">
        <w:rPr>
          <w:rFonts w:ascii="Arial" w:hAnsi="Arial" w:cs="Arial"/>
          <w:sz w:val="22"/>
          <w:szCs w:val="22"/>
        </w:rPr>
        <w:t>control de la concepción,</w:t>
      </w:r>
      <w:bookmarkStart w:id="11" w:name="PAHOMTS0000061E"/>
      <w:bookmarkEnd w:id="11"/>
      <w:r w:rsidRPr="00723A4A">
        <w:rPr>
          <w:rFonts w:ascii="Arial" w:hAnsi="Arial" w:cs="Arial"/>
          <w:sz w:val="22"/>
          <w:szCs w:val="22"/>
        </w:rPr>
        <w:t xml:space="preserve"> norma para regular si es una norma </w:t>
      </w:r>
    </w:p>
    <w:p w:rsidR="00B43882" w:rsidRPr="00723A4A" w:rsidRDefault="00B43882">
      <w:pPr>
        <w:pStyle w:val="Textosinformato1"/>
        <w:numPr>
          <w:ilvl w:val="0"/>
          <w:numId w:val="23"/>
        </w:numPr>
        <w:tabs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bookmarkStart w:id="12" w:name="PAHOMTS0000062B"/>
      <w:bookmarkEnd w:id="12"/>
      <w:r w:rsidRPr="00723A4A">
        <w:rPr>
          <w:rFonts w:ascii="Arial" w:hAnsi="Arial" w:cs="Arial"/>
          <w:sz w:val="22"/>
          <w:szCs w:val="22"/>
        </w:rPr>
        <w:t>desinfección de los equipos y los Cuidados Intensivos y Quirófano,</w:t>
      </w:r>
      <w:bookmarkStart w:id="13" w:name="PAHOMTS0000062E"/>
      <w:bookmarkEnd w:id="13"/>
    </w:p>
    <w:p w:rsidR="00B43882" w:rsidRPr="00723A4A" w:rsidRDefault="00B43882">
      <w:pPr>
        <w:pStyle w:val="Textosinformato1"/>
        <w:numPr>
          <w:ilvl w:val="0"/>
          <w:numId w:val="23"/>
        </w:numPr>
        <w:tabs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bookmarkStart w:id="14" w:name="PAHOMTS0000063B"/>
      <w:bookmarkEnd w:id="14"/>
      <w:r w:rsidRPr="00723A4A">
        <w:rPr>
          <w:rFonts w:ascii="Arial" w:hAnsi="Arial" w:cs="Arial"/>
          <w:sz w:val="22"/>
          <w:szCs w:val="22"/>
        </w:rPr>
        <w:t xml:space="preserve">suministro de información con finalidades médicas o de diagnóstico por medio del examen </w:t>
      </w:r>
      <w:r w:rsidRPr="00723A4A">
        <w:rPr>
          <w:rFonts w:ascii="Arial" w:hAnsi="Arial" w:cs="Arial"/>
          <w:i/>
          <w:iCs/>
          <w:sz w:val="22"/>
          <w:szCs w:val="22"/>
        </w:rPr>
        <w:t>in vitro</w:t>
      </w:r>
      <w:r w:rsidRPr="00723A4A">
        <w:rPr>
          <w:rFonts w:ascii="Arial" w:hAnsi="Arial" w:cs="Arial"/>
          <w:sz w:val="22"/>
          <w:szCs w:val="22"/>
        </w:rPr>
        <w:t xml:space="preserve"> de muestras procedentes del organismo humano;</w:t>
      </w:r>
      <w:bookmarkStart w:id="15" w:name="PAHOMTS0000063E"/>
      <w:bookmarkEnd w:id="15"/>
    </w:p>
    <w:p w:rsidR="00B43882" w:rsidRPr="00723A4A" w:rsidRDefault="00B43882">
      <w:pPr>
        <w:ind w:left="708"/>
        <w:rPr>
          <w:sz w:val="22"/>
          <w:szCs w:val="22"/>
          <w:lang w:val="es-ES_tradnl" w:eastAsia="ar-SA"/>
        </w:rPr>
      </w:pPr>
      <w:r w:rsidRPr="00723A4A">
        <w:rPr>
          <w:sz w:val="22"/>
          <w:szCs w:val="22"/>
          <w:lang w:val="es-ES_tradnl" w:eastAsia="ar-SA"/>
        </w:rPr>
        <w:t>y</w:t>
      </w:r>
      <w:bookmarkStart w:id="16" w:name="PAHOMTS0000064E"/>
      <w:bookmarkStart w:id="17" w:name="PAHOMTS0000065B"/>
      <w:bookmarkEnd w:id="16"/>
      <w:bookmarkEnd w:id="17"/>
      <w:r w:rsidRPr="00723A4A">
        <w:rPr>
          <w:sz w:val="22"/>
          <w:szCs w:val="22"/>
          <w:lang w:val="es-ES_tradnl" w:eastAsia="ar-SA"/>
        </w:rPr>
        <w:t xml:space="preserve"> que no produce el efecto primordial deseado en el organismo humano por medios farmacológicos, inmunológicos o metabólicos, aunque su función puede ser apoyada por tales medios.</w:t>
      </w:r>
      <w:bookmarkStart w:id="18" w:name="PAHOMTS0000065E"/>
      <w:bookmarkEnd w:id="18"/>
      <w:r w:rsidRPr="00723A4A">
        <w:rPr>
          <w:sz w:val="22"/>
          <w:szCs w:val="22"/>
          <w:lang w:val="es-ES_tradnl" w:eastAsia="ar-SA"/>
        </w:rPr>
        <w:t>”</w:t>
      </w:r>
    </w:p>
    <w:p w:rsidR="00B43882" w:rsidRPr="00723A4A" w:rsidRDefault="00B43882">
      <w:pPr>
        <w:ind w:left="708"/>
        <w:rPr>
          <w:sz w:val="22"/>
          <w:szCs w:val="22"/>
          <w:lang w:val="es-ES_tradnl" w:eastAsia="ar-SA"/>
        </w:rPr>
      </w:pPr>
    </w:p>
    <w:p w:rsidR="00B43882" w:rsidRPr="00723A4A" w:rsidRDefault="00B43882">
      <w:pPr>
        <w:numPr>
          <w:ilvl w:val="0"/>
          <w:numId w:val="21"/>
        </w:numPr>
        <w:rPr>
          <w:kern w:val="32"/>
          <w:sz w:val="22"/>
          <w:szCs w:val="22"/>
        </w:rPr>
      </w:pPr>
      <w:r w:rsidRPr="00723A4A">
        <w:rPr>
          <w:b/>
          <w:bCs/>
          <w:sz w:val="22"/>
          <w:szCs w:val="22"/>
        </w:rPr>
        <w:t>Firma de conformidad:</w:t>
      </w:r>
      <w:r w:rsidRPr="00723A4A">
        <w:rPr>
          <w:sz w:val="22"/>
          <w:szCs w:val="22"/>
        </w:rPr>
        <w:t xml:space="preserve"> Se realiza cuando el proveedor valida que la marca que representa del equipo médico en cuestión, se cumple o supera de manera cabal todos y cada uno de los puntos referidos en la cédula de Especificaciones Técnicas correspondiente.</w:t>
      </w:r>
    </w:p>
    <w:p w:rsidR="00B43882" w:rsidRPr="00723A4A" w:rsidRDefault="00B43882">
      <w:pPr>
        <w:ind w:left="720"/>
        <w:rPr>
          <w:kern w:val="32"/>
          <w:sz w:val="22"/>
          <w:szCs w:val="22"/>
        </w:rPr>
      </w:pPr>
    </w:p>
    <w:p w:rsidR="00B43882" w:rsidRPr="00723A4A" w:rsidRDefault="00B43882">
      <w:pPr>
        <w:pStyle w:val="linka"/>
        <w:widowControl/>
        <w:numPr>
          <w:ilvl w:val="0"/>
          <w:numId w:val="21"/>
        </w:numPr>
        <w:suppressAutoHyphens w:val="0"/>
        <w:spacing w:before="100" w:beforeAutospacing="1" w:after="100" w:afterAutospacing="1"/>
        <w:jc w:val="both"/>
        <w:rPr>
          <w:b w:val="0"/>
          <w:bCs w:val="0"/>
          <w:kern w:val="32"/>
          <w:sz w:val="22"/>
          <w:szCs w:val="22"/>
        </w:rPr>
      </w:pPr>
      <w:r w:rsidRPr="00723A4A">
        <w:rPr>
          <w:kern w:val="32"/>
          <w:sz w:val="22"/>
          <w:szCs w:val="22"/>
        </w:rPr>
        <w:t>Guía de Proveedores y Servicios en el Área de la Salud:</w:t>
      </w:r>
      <w:r w:rsidRPr="00723A4A">
        <w:rPr>
          <w:b w:val="0"/>
          <w:bCs w:val="0"/>
          <w:kern w:val="32"/>
          <w:sz w:val="22"/>
          <w:szCs w:val="22"/>
        </w:rPr>
        <w:t xml:space="preserve"> </w:t>
      </w:r>
      <w:r w:rsidRPr="00723A4A">
        <w:rPr>
          <w:b w:val="0"/>
          <w:bCs w:val="0"/>
          <w:sz w:val="22"/>
          <w:szCs w:val="22"/>
        </w:rPr>
        <w:t>Contiene toda la información sobre productos e insumos médicos hospitalarios, ordenado por especialidades. Diseñado con índices cruzados para una fácil consulta. Esta publicación está organizada para ayudar a los departamentos de compras, así como a los distribuidores y fabricantes, para identificar fácilmente los productos y las marcas comerciales.</w:t>
      </w:r>
    </w:p>
    <w:p w:rsidR="00B43882" w:rsidRPr="00723A4A" w:rsidRDefault="00B43882">
      <w:pPr>
        <w:numPr>
          <w:ilvl w:val="0"/>
          <w:numId w:val="21"/>
        </w:numPr>
        <w:autoSpaceDE w:val="0"/>
        <w:autoSpaceDN w:val="0"/>
        <w:adjustRightInd w:val="0"/>
        <w:spacing w:before="360"/>
        <w:ind w:left="714" w:hanging="357"/>
        <w:jc w:val="left"/>
        <w:rPr>
          <w:sz w:val="22"/>
          <w:szCs w:val="22"/>
          <w:lang w:eastAsia="es-MX"/>
        </w:rPr>
      </w:pPr>
      <w:r w:rsidRPr="00723A4A">
        <w:rPr>
          <w:b/>
          <w:bCs/>
          <w:sz w:val="22"/>
          <w:szCs w:val="22"/>
          <w:lang w:eastAsia="es-MX"/>
        </w:rPr>
        <w:t>Refacciones:</w:t>
      </w:r>
      <w:r w:rsidRPr="00723A4A">
        <w:rPr>
          <w:sz w:val="22"/>
          <w:szCs w:val="22"/>
          <w:lang w:eastAsia="es-MX"/>
        </w:rPr>
        <w:t xml:space="preserve"> las partes o piezas que conforman un equipo o dispositivo médico, que son necesarias para su operación e independientes del consumible y que deben ser sustituidas, garantizando la compatibilidad con </w:t>
      </w:r>
      <w:r w:rsidRPr="00723A4A">
        <w:rPr>
          <w:sz w:val="22"/>
          <w:szCs w:val="22"/>
        </w:rPr>
        <w:t>el dispositivo médico, en función de su desgaste, rotura, substracción o falla, derivados del uso</w:t>
      </w:r>
      <w:r w:rsidRPr="00723A4A">
        <w:rPr>
          <w:sz w:val="22"/>
          <w:szCs w:val="22"/>
          <w:vertAlign w:val="superscript"/>
        </w:rPr>
        <w:t>1</w:t>
      </w:r>
      <w:r w:rsidRPr="00723A4A">
        <w:rPr>
          <w:sz w:val="22"/>
          <w:szCs w:val="22"/>
        </w:rPr>
        <w:t xml:space="preserve">. </w:t>
      </w:r>
    </w:p>
    <w:p w:rsidR="00B43882" w:rsidRPr="00723A4A" w:rsidRDefault="00B43882" w:rsidP="00723A4A">
      <w:pPr>
        <w:pStyle w:val="Heading1"/>
      </w:pPr>
      <w:r w:rsidRPr="00723A4A">
        <w:t>Cambios de esta versión</w:t>
      </w:r>
    </w:p>
    <w:tbl>
      <w:tblPr>
        <w:tblW w:w="9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46"/>
        <w:gridCol w:w="1999"/>
        <w:gridCol w:w="3999"/>
      </w:tblGrid>
      <w:tr w:rsidR="00B43882" w:rsidRPr="00723A4A">
        <w:trPr>
          <w:trHeight w:val="812"/>
          <w:jc w:val="center"/>
        </w:trPr>
        <w:tc>
          <w:tcPr>
            <w:tcW w:w="3546" w:type="dxa"/>
            <w:tcBorders>
              <w:top w:val="single" w:sz="4" w:space="0" w:color="auto"/>
            </w:tcBorders>
            <w:vAlign w:val="center"/>
          </w:tcPr>
          <w:p w:rsidR="00B43882" w:rsidRPr="00723A4A" w:rsidRDefault="00B43882">
            <w:pPr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723A4A">
              <w:rPr>
                <w:b/>
                <w:bCs/>
                <w:sz w:val="22"/>
                <w:szCs w:val="22"/>
              </w:rPr>
              <w:t>Número de revisión</w:t>
            </w:r>
          </w:p>
        </w:tc>
        <w:tc>
          <w:tcPr>
            <w:tcW w:w="1999" w:type="dxa"/>
            <w:tcBorders>
              <w:top w:val="single" w:sz="4" w:space="0" w:color="auto"/>
            </w:tcBorders>
            <w:vAlign w:val="center"/>
          </w:tcPr>
          <w:p w:rsidR="00B43882" w:rsidRPr="00723A4A" w:rsidRDefault="00B43882">
            <w:pPr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723A4A">
              <w:rPr>
                <w:b/>
                <w:bCs/>
                <w:sz w:val="22"/>
                <w:szCs w:val="22"/>
              </w:rPr>
              <w:t>Fecha de actualización</w:t>
            </w:r>
          </w:p>
        </w:tc>
        <w:tc>
          <w:tcPr>
            <w:tcW w:w="3999" w:type="dxa"/>
            <w:tcBorders>
              <w:top w:val="single" w:sz="4" w:space="0" w:color="auto"/>
            </w:tcBorders>
            <w:vAlign w:val="center"/>
          </w:tcPr>
          <w:p w:rsidR="00B43882" w:rsidRPr="00723A4A" w:rsidRDefault="00B43882">
            <w:pPr>
              <w:snapToGrid w:val="0"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 w:rsidRPr="00723A4A">
              <w:rPr>
                <w:b/>
                <w:bCs/>
                <w:sz w:val="22"/>
                <w:szCs w:val="22"/>
              </w:rPr>
              <w:t>Descripción del cambio</w:t>
            </w:r>
          </w:p>
        </w:tc>
      </w:tr>
      <w:tr w:rsidR="00B43882" w:rsidRPr="00723A4A">
        <w:trPr>
          <w:trHeight w:val="154"/>
          <w:jc w:val="center"/>
        </w:trPr>
        <w:tc>
          <w:tcPr>
            <w:tcW w:w="3546" w:type="dxa"/>
            <w:tcBorders>
              <w:bottom w:val="single" w:sz="4" w:space="0" w:color="auto"/>
            </w:tcBorders>
            <w:vAlign w:val="center"/>
          </w:tcPr>
          <w:p w:rsidR="00B43882" w:rsidRPr="00723A4A" w:rsidRDefault="00B43882">
            <w:pPr>
              <w:pStyle w:val="Footer"/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723A4A">
              <w:rPr>
                <w:sz w:val="22"/>
                <w:szCs w:val="22"/>
              </w:rPr>
              <w:t>No aplica</w:t>
            </w:r>
          </w:p>
        </w:tc>
        <w:tc>
          <w:tcPr>
            <w:tcW w:w="1999" w:type="dxa"/>
            <w:tcBorders>
              <w:bottom w:val="single" w:sz="4" w:space="0" w:color="auto"/>
            </w:tcBorders>
            <w:vAlign w:val="center"/>
          </w:tcPr>
          <w:p w:rsidR="00B43882" w:rsidRPr="00723A4A" w:rsidRDefault="00B43882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723A4A">
              <w:rPr>
                <w:sz w:val="22"/>
                <w:szCs w:val="22"/>
              </w:rPr>
              <w:t>No aplica</w:t>
            </w:r>
          </w:p>
        </w:tc>
        <w:tc>
          <w:tcPr>
            <w:tcW w:w="3999" w:type="dxa"/>
            <w:tcBorders>
              <w:bottom w:val="single" w:sz="4" w:space="0" w:color="auto"/>
            </w:tcBorders>
            <w:vAlign w:val="center"/>
          </w:tcPr>
          <w:p w:rsidR="00B43882" w:rsidRPr="00723A4A" w:rsidRDefault="00B43882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r w:rsidRPr="00723A4A">
              <w:rPr>
                <w:sz w:val="22"/>
                <w:szCs w:val="22"/>
              </w:rPr>
              <w:t>No aplica</w:t>
            </w:r>
          </w:p>
        </w:tc>
      </w:tr>
    </w:tbl>
    <w:p w:rsidR="00B43882" w:rsidRDefault="00B43882" w:rsidP="00723A4A">
      <w:pPr>
        <w:pStyle w:val="Heading1"/>
      </w:pPr>
      <w:r w:rsidRPr="00723A4A">
        <w:t>A</w:t>
      </w:r>
      <w:r>
        <w:t>nexos</w:t>
      </w:r>
    </w:p>
    <w:p w:rsidR="00B43882" w:rsidRDefault="00B43882">
      <w:pPr>
        <w:ind w:firstLine="360"/>
        <w:rPr>
          <w:sz w:val="22"/>
          <w:szCs w:val="22"/>
        </w:rPr>
      </w:pPr>
      <w:r>
        <w:rPr>
          <w:sz w:val="22"/>
          <w:szCs w:val="22"/>
        </w:rPr>
        <w:t>No aplican</w:t>
      </w:r>
    </w:p>
    <w:sectPr w:rsidR="00B43882" w:rsidSect="00444189">
      <w:headerReference w:type="default" r:id="rId9"/>
      <w:pgSz w:w="12240" w:h="15840"/>
      <w:pgMar w:top="1644" w:right="902" w:bottom="2268" w:left="1134" w:header="720" w:footer="454" w:gutter="0"/>
      <w:pgNumType w:chapSep="enDash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882" w:rsidRDefault="00B4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43882" w:rsidRDefault="00B4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882" w:rsidRDefault="00B4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43882" w:rsidRDefault="00B4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422"/>
      <w:gridCol w:w="5528"/>
      <w:gridCol w:w="1559"/>
      <w:gridCol w:w="1559"/>
    </w:tblGrid>
    <w:tr w:rsidR="00B43882" w:rsidRPr="00C95A21">
      <w:trPr>
        <w:cantSplit/>
        <w:trHeight w:val="423"/>
      </w:trPr>
      <w:tc>
        <w:tcPr>
          <w:tcW w:w="1560" w:type="dxa"/>
          <w:vMerge w:val="restart"/>
          <w:vAlign w:val="center"/>
        </w:tcPr>
        <w:p w:rsidR="00B43882" w:rsidRPr="00C95A21" w:rsidRDefault="00B43882">
          <w:pPr>
            <w:jc w:val="left"/>
            <w:rPr>
              <w:rFonts w:ascii="Times New Roman" w:hAnsi="Times New Roman" w:cs="Times New Roman"/>
            </w:rPr>
          </w:pPr>
          <w:r w:rsidRPr="00C95A21">
            <w:rPr>
              <w:rFonts w:ascii="Times New Roman" w:hAnsi="Times New Roman" w:cs="Times New Roman"/>
            </w:rPr>
            <w:object w:dxaOrig="2505" w:dyaOrig="147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70.5pt;height:41.25pt" o:ole="">
                <v:imagedata r:id="rId1" o:title=""/>
              </v:shape>
              <o:OLEObject Type="Embed" ProgID="PBrush" ShapeID="_x0000_i1027" DrawAspect="Content" ObjectID="_1406739831" r:id="rId2"/>
            </w:object>
          </w:r>
        </w:p>
      </w:tc>
      <w:tc>
        <w:tcPr>
          <w:tcW w:w="5528" w:type="dxa"/>
          <w:vAlign w:val="center"/>
        </w:tcPr>
        <w:p w:rsidR="00B43882" w:rsidRPr="00C95A21" w:rsidRDefault="00B43882">
          <w:pPr>
            <w:pStyle w:val="Heading5"/>
            <w:spacing w:before="60" w:after="60"/>
            <w:rPr>
              <w:rFonts w:ascii="Times New Roman" w:hAnsi="Times New Roman" w:cs="Times New Roman"/>
            </w:rPr>
          </w:pPr>
          <w:r w:rsidRPr="00C95A21">
            <w:rPr>
              <w:rFonts w:ascii="Times New Roman" w:hAnsi="Times New Roman" w:cs="Times New Roman"/>
            </w:rPr>
            <w:t>MANUAL DE PROCEDIMIENTOS</w:t>
          </w:r>
        </w:p>
      </w:tc>
      <w:tc>
        <w:tcPr>
          <w:tcW w:w="1559" w:type="dxa"/>
          <w:vMerge w:val="restart"/>
          <w:vAlign w:val="center"/>
        </w:tcPr>
        <w:p w:rsidR="00B43882" w:rsidRPr="00C95A21" w:rsidRDefault="00B43882">
          <w:pPr>
            <w:spacing w:before="60" w:after="60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  <w:r w:rsidRPr="00C95A21">
            <w:rPr>
              <w:rFonts w:ascii="Times New Roman" w:hAnsi="Times New Roman" w:cs="Times New Roman"/>
            </w:rPr>
            <w:object w:dxaOrig="2655" w:dyaOrig="1440">
              <v:shape id="_x0000_i1028" type="#_x0000_t75" style="width:70.5pt;height:38.25pt" o:ole="">
                <v:imagedata r:id="rId3" o:title=""/>
              </v:shape>
              <o:OLEObject Type="Embed" ProgID="PBrush" ShapeID="_x0000_i1028" DrawAspect="Content" ObjectID="_1406739832" r:id="rId4"/>
            </w:object>
          </w:r>
        </w:p>
      </w:tc>
      <w:tc>
        <w:tcPr>
          <w:tcW w:w="1559" w:type="dxa"/>
          <w:vMerge w:val="restart"/>
          <w:vAlign w:val="center"/>
        </w:tcPr>
        <w:p w:rsidR="00B43882" w:rsidRPr="00C95A21" w:rsidRDefault="00B43882">
          <w:pPr>
            <w:pStyle w:val="Heading5"/>
            <w:spacing w:before="60" w:after="60"/>
            <w:rPr>
              <w:rFonts w:ascii="Times New Roman" w:hAnsi="Times New Roman" w:cs="Times New Roman"/>
              <w:color w:val="000000"/>
            </w:rPr>
          </w:pPr>
          <w:r w:rsidRPr="00C95A21">
            <w:rPr>
              <w:rFonts w:ascii="Times New Roman" w:hAnsi="Times New Roman" w:cs="Times New Roman"/>
              <w:b w:val="0"/>
              <w:bCs w:val="0"/>
            </w:rPr>
            <w:t xml:space="preserve">Código: </w:t>
          </w:r>
          <w:r w:rsidRPr="00C95A21">
            <w:rPr>
              <w:rFonts w:ascii="Times New Roman" w:hAnsi="Times New Roman" w:cs="Times New Roman"/>
            </w:rPr>
            <w:t>N/A</w:t>
          </w:r>
        </w:p>
      </w:tc>
    </w:tr>
    <w:tr w:rsidR="00B43882" w:rsidRPr="00C95A21">
      <w:trPr>
        <w:cantSplit/>
        <w:trHeight w:val="417"/>
      </w:trPr>
      <w:tc>
        <w:tcPr>
          <w:tcW w:w="1560" w:type="dxa"/>
          <w:vMerge/>
          <w:vAlign w:val="center"/>
        </w:tcPr>
        <w:p w:rsidR="00B43882" w:rsidRPr="00C95A21" w:rsidRDefault="00B43882">
          <w:pPr>
            <w:jc w:val="left"/>
            <w:rPr>
              <w:rFonts w:ascii="Times New Roman" w:hAnsi="Times New Roman" w:cs="Times New Roman"/>
              <w:noProof/>
            </w:rPr>
          </w:pPr>
        </w:p>
      </w:tc>
      <w:tc>
        <w:tcPr>
          <w:tcW w:w="5528" w:type="dxa"/>
          <w:vAlign w:val="center"/>
        </w:tcPr>
        <w:p w:rsidR="00B43882" w:rsidRPr="00C95A21" w:rsidRDefault="00B43882">
          <w:pPr>
            <w:pStyle w:val="Heading5"/>
            <w:spacing w:before="60" w:after="60"/>
            <w:rPr>
              <w:rFonts w:ascii="Times New Roman" w:hAnsi="Times New Roman" w:cs="Times New Roman"/>
            </w:rPr>
          </w:pPr>
          <w:r w:rsidRPr="00C95A21">
            <w:t>Dirección de Ingeniería Biomédica</w:t>
          </w:r>
        </w:p>
      </w:tc>
      <w:tc>
        <w:tcPr>
          <w:tcW w:w="1559" w:type="dxa"/>
          <w:vMerge/>
          <w:vAlign w:val="center"/>
        </w:tcPr>
        <w:p w:rsidR="00B43882" w:rsidRPr="00C95A21" w:rsidRDefault="00B43882">
          <w:pPr>
            <w:spacing w:before="60" w:after="60"/>
            <w:jc w:val="center"/>
            <w:rPr>
              <w:rFonts w:ascii="Times New Roman" w:hAnsi="Times New Roman" w:cs="Times New Roman"/>
              <w:b/>
              <w:bCs/>
              <w:sz w:val="16"/>
              <w:szCs w:val="16"/>
            </w:rPr>
          </w:pPr>
        </w:p>
      </w:tc>
      <w:tc>
        <w:tcPr>
          <w:tcW w:w="1559" w:type="dxa"/>
          <w:vMerge/>
          <w:vAlign w:val="center"/>
        </w:tcPr>
        <w:p w:rsidR="00B43882" w:rsidRPr="00C95A21" w:rsidRDefault="00B43882">
          <w:pPr>
            <w:pStyle w:val="Heading5"/>
            <w:spacing w:before="60" w:after="60"/>
            <w:rPr>
              <w:rFonts w:ascii="Times New Roman" w:hAnsi="Times New Roman" w:cs="Times New Roman"/>
              <w:b w:val="0"/>
              <w:bCs w:val="0"/>
            </w:rPr>
          </w:pPr>
        </w:p>
      </w:tc>
    </w:tr>
    <w:tr w:rsidR="00B43882" w:rsidRPr="00C95A21">
      <w:trPr>
        <w:cantSplit/>
        <w:trHeight w:val="340"/>
      </w:trPr>
      <w:tc>
        <w:tcPr>
          <w:tcW w:w="1560" w:type="dxa"/>
          <w:vMerge/>
        </w:tcPr>
        <w:p w:rsidR="00B43882" w:rsidRPr="00C95A21" w:rsidRDefault="00B43882">
          <w:pPr>
            <w:pStyle w:val="Header"/>
          </w:pPr>
        </w:p>
      </w:tc>
      <w:tc>
        <w:tcPr>
          <w:tcW w:w="5528" w:type="dxa"/>
          <w:vMerge w:val="restart"/>
          <w:vAlign w:val="center"/>
        </w:tcPr>
        <w:p w:rsidR="00B43882" w:rsidRPr="00C95A21" w:rsidRDefault="00B43882">
          <w:pPr>
            <w:pStyle w:val="Header"/>
          </w:pPr>
          <w:r w:rsidRPr="00C95A21">
            <w:t xml:space="preserve">12.- Procedimiento para Elaborar Guías Tecnológicas de Cuidados Intensivos y Quirófano. </w:t>
          </w:r>
        </w:p>
      </w:tc>
      <w:tc>
        <w:tcPr>
          <w:tcW w:w="1559" w:type="dxa"/>
          <w:vMerge/>
          <w:vAlign w:val="center"/>
        </w:tcPr>
        <w:p w:rsidR="00B43882" w:rsidRPr="00C95A21" w:rsidRDefault="00B43882">
          <w:pPr>
            <w:pStyle w:val="Header"/>
          </w:pPr>
        </w:p>
      </w:tc>
      <w:tc>
        <w:tcPr>
          <w:tcW w:w="1559" w:type="dxa"/>
          <w:vAlign w:val="center"/>
        </w:tcPr>
        <w:p w:rsidR="00B43882" w:rsidRPr="00C95A21" w:rsidRDefault="00B43882">
          <w:pPr>
            <w:pStyle w:val="Header"/>
          </w:pPr>
          <w:r w:rsidRPr="00C95A21">
            <w:t>Rev. N/A</w:t>
          </w:r>
        </w:p>
      </w:tc>
    </w:tr>
    <w:tr w:rsidR="00B43882" w:rsidRPr="00C95A21">
      <w:trPr>
        <w:cantSplit/>
        <w:trHeight w:val="340"/>
      </w:trPr>
      <w:tc>
        <w:tcPr>
          <w:tcW w:w="1560" w:type="dxa"/>
          <w:vMerge/>
        </w:tcPr>
        <w:p w:rsidR="00B43882" w:rsidRPr="00C95A21" w:rsidRDefault="00B43882">
          <w:pPr>
            <w:pStyle w:val="Header"/>
          </w:pPr>
        </w:p>
      </w:tc>
      <w:tc>
        <w:tcPr>
          <w:tcW w:w="5528" w:type="dxa"/>
          <w:vMerge/>
          <w:vAlign w:val="center"/>
        </w:tcPr>
        <w:p w:rsidR="00B43882" w:rsidRPr="00C95A21" w:rsidRDefault="00B43882">
          <w:pPr>
            <w:pStyle w:val="Header"/>
          </w:pPr>
        </w:p>
      </w:tc>
      <w:tc>
        <w:tcPr>
          <w:tcW w:w="1559" w:type="dxa"/>
          <w:vMerge/>
          <w:vAlign w:val="center"/>
        </w:tcPr>
        <w:p w:rsidR="00B43882" w:rsidRPr="00C95A21" w:rsidRDefault="00B43882">
          <w:pPr>
            <w:pStyle w:val="Header"/>
          </w:pPr>
        </w:p>
      </w:tc>
      <w:tc>
        <w:tcPr>
          <w:tcW w:w="1559" w:type="dxa"/>
          <w:vAlign w:val="center"/>
        </w:tcPr>
        <w:p w:rsidR="00B43882" w:rsidRPr="00C95A21" w:rsidRDefault="00B43882">
          <w:pPr>
            <w:pStyle w:val="Header"/>
          </w:pPr>
          <w:r w:rsidRPr="00C95A21">
            <w:rPr>
              <w:b w:val="0"/>
              <w:bCs w:val="0"/>
            </w:rPr>
            <w:t xml:space="preserve">Hoja: </w:t>
          </w:r>
          <w:r w:rsidRPr="00C95A21">
            <w:rPr>
              <w:rStyle w:val="PageNumber"/>
              <w:rFonts w:ascii="Arial" w:hAnsi="Arial" w:cs="Arial"/>
              <w:b w:val="0"/>
              <w:bCs w:val="0"/>
            </w:rPr>
            <w:fldChar w:fldCharType="begin"/>
          </w:r>
          <w:r w:rsidRPr="00C95A21">
            <w:rPr>
              <w:rStyle w:val="PageNumber"/>
              <w:rFonts w:ascii="Arial" w:hAnsi="Arial" w:cs="Arial"/>
              <w:b w:val="0"/>
              <w:bCs w:val="0"/>
            </w:rPr>
            <w:instrText xml:space="preserve"> PAGE </w:instrText>
          </w:r>
          <w:r w:rsidRPr="00C95A21">
            <w:rPr>
              <w:rStyle w:val="PageNumber"/>
              <w:rFonts w:ascii="Arial" w:hAnsi="Arial" w:cs="Arial"/>
              <w:b w:val="0"/>
              <w:bCs w:val="0"/>
            </w:rPr>
            <w:fldChar w:fldCharType="separate"/>
          </w:r>
          <w:r>
            <w:rPr>
              <w:rStyle w:val="PageNumber"/>
              <w:rFonts w:ascii="Arial" w:hAnsi="Arial" w:cs="Arial"/>
              <w:b w:val="0"/>
              <w:bCs w:val="0"/>
              <w:noProof/>
            </w:rPr>
            <w:t>8</w:t>
          </w:r>
          <w:r w:rsidRPr="00C95A21">
            <w:rPr>
              <w:rStyle w:val="PageNumber"/>
              <w:rFonts w:ascii="Arial" w:hAnsi="Arial" w:cs="Arial"/>
              <w:b w:val="0"/>
              <w:bCs w:val="0"/>
            </w:rPr>
            <w:fldChar w:fldCharType="end"/>
          </w:r>
          <w:r w:rsidRPr="00C95A21">
            <w:rPr>
              <w:b w:val="0"/>
              <w:bCs w:val="0"/>
            </w:rPr>
            <w:t xml:space="preserve"> de </w:t>
          </w:r>
          <w:r w:rsidRPr="00C95A21">
            <w:rPr>
              <w:rStyle w:val="PageNumber"/>
              <w:rFonts w:ascii="Arial" w:hAnsi="Arial" w:cs="Arial"/>
              <w:b w:val="0"/>
              <w:bCs w:val="0"/>
            </w:rPr>
            <w:fldChar w:fldCharType="begin"/>
          </w:r>
          <w:r w:rsidRPr="00C95A21">
            <w:rPr>
              <w:rStyle w:val="PageNumber"/>
              <w:rFonts w:ascii="Arial" w:hAnsi="Arial" w:cs="Arial"/>
              <w:b w:val="0"/>
              <w:bCs w:val="0"/>
            </w:rPr>
            <w:instrText xml:space="preserve"> NUMPAGES </w:instrText>
          </w:r>
          <w:r w:rsidRPr="00C95A21">
            <w:rPr>
              <w:rStyle w:val="PageNumber"/>
              <w:rFonts w:ascii="Arial" w:hAnsi="Arial" w:cs="Arial"/>
              <w:b w:val="0"/>
              <w:bCs w:val="0"/>
            </w:rPr>
            <w:fldChar w:fldCharType="separate"/>
          </w:r>
          <w:r>
            <w:rPr>
              <w:rStyle w:val="PageNumber"/>
              <w:rFonts w:ascii="Arial" w:hAnsi="Arial" w:cs="Arial"/>
              <w:b w:val="0"/>
              <w:bCs w:val="0"/>
              <w:noProof/>
            </w:rPr>
            <w:t>8</w:t>
          </w:r>
          <w:r w:rsidRPr="00C95A21">
            <w:rPr>
              <w:rStyle w:val="PageNumber"/>
              <w:rFonts w:ascii="Arial" w:hAnsi="Arial" w:cs="Arial"/>
              <w:b w:val="0"/>
              <w:bCs w:val="0"/>
            </w:rPr>
            <w:fldChar w:fldCharType="end"/>
          </w:r>
        </w:p>
      </w:tc>
    </w:tr>
  </w:tbl>
  <w:p w:rsidR="00B43882" w:rsidRDefault="00B438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10C6B9A8"/>
    <w:name w:val="WW8Num7"/>
    <w:lvl w:ilvl="0">
      <w:start w:val="6"/>
      <w:numFmt w:val="decimal"/>
      <w:lvlText w:val="%1.0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0000000C"/>
    <w:multiLevelType w:val="singleLevel"/>
    <w:tmpl w:val="0000000C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13"/>
    <w:multiLevelType w:val="multilevel"/>
    <w:tmpl w:val="CC683CE6"/>
    <w:lvl w:ilvl="0">
      <w:start w:val="1"/>
      <w:numFmt w:val="decimal"/>
      <w:pStyle w:val="Heading1"/>
      <w:lvlText w:val="%1.0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</w:rPr>
    </w:lvl>
  </w:abstractNum>
  <w:abstractNum w:abstractNumId="4">
    <w:nsid w:val="01D73E0B"/>
    <w:multiLevelType w:val="multilevel"/>
    <w:tmpl w:val="91143596"/>
    <w:lvl w:ilvl="0">
      <w:start w:val="1"/>
      <w:numFmt w:val="none"/>
      <w:isLgl/>
      <w:lvlText w:val="3.2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none"/>
      <w:lvlText w:val="3.2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5">
    <w:nsid w:val="06FB0C88"/>
    <w:multiLevelType w:val="multilevel"/>
    <w:tmpl w:val="E7E4A7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3.%2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6">
    <w:nsid w:val="18A828D3"/>
    <w:multiLevelType w:val="hybridMultilevel"/>
    <w:tmpl w:val="B268E04E"/>
    <w:lvl w:ilvl="0" w:tplc="992EE8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2F66AB4"/>
    <w:multiLevelType w:val="hybridMultilevel"/>
    <w:tmpl w:val="303E4AD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292439"/>
    <w:multiLevelType w:val="hybridMultilevel"/>
    <w:tmpl w:val="11A43A3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2B6070"/>
    <w:multiLevelType w:val="multilevel"/>
    <w:tmpl w:val="C4D83400"/>
    <w:lvl w:ilvl="0">
      <w:start w:val="3"/>
      <w:numFmt w:val="decimal"/>
      <w:lvlText w:val="%1.1.2"/>
      <w:lvlJc w:val="left"/>
      <w:pPr>
        <w:tabs>
          <w:tab w:val="num" w:pos="585"/>
        </w:tabs>
        <w:ind w:left="585" w:hanging="58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3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10">
    <w:nsid w:val="37DB1114"/>
    <w:multiLevelType w:val="multilevel"/>
    <w:tmpl w:val="842029D6"/>
    <w:lvl w:ilvl="0">
      <w:start w:val="1"/>
      <w:numFmt w:val="decimal"/>
      <w:lvlText w:val="%1.0"/>
      <w:lvlJc w:val="left"/>
      <w:pPr>
        <w:tabs>
          <w:tab w:val="num" w:pos="426"/>
        </w:tabs>
        <w:ind w:left="42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ascii="Times New Roman" w:hAnsi="Times New Roman" w:cs="Times New Roman" w:hint="default"/>
      </w:rPr>
    </w:lvl>
  </w:abstractNum>
  <w:abstractNum w:abstractNumId="11">
    <w:nsid w:val="399420C0"/>
    <w:multiLevelType w:val="multilevel"/>
    <w:tmpl w:val="79C84C66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">
    <w:nsid w:val="412E5389"/>
    <w:multiLevelType w:val="hybridMultilevel"/>
    <w:tmpl w:val="B3BA97F0"/>
    <w:lvl w:ilvl="0" w:tplc="D40EA7C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41471314"/>
    <w:multiLevelType w:val="multilevel"/>
    <w:tmpl w:val="EC1EE468"/>
    <w:lvl w:ilvl="0">
      <w:start w:val="6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8.%2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4">
    <w:nsid w:val="41C26DD7"/>
    <w:multiLevelType w:val="multilevel"/>
    <w:tmpl w:val="5FE2E4B6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2.%2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5">
    <w:nsid w:val="45F218CF"/>
    <w:multiLevelType w:val="hybridMultilevel"/>
    <w:tmpl w:val="D09CAD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5425DE"/>
    <w:multiLevelType w:val="hybridMultilevel"/>
    <w:tmpl w:val="BFFA772A"/>
    <w:lvl w:ilvl="0" w:tplc="0C0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A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A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A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A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A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A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A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>
    <w:nsid w:val="4B3B638F"/>
    <w:multiLevelType w:val="hybridMultilevel"/>
    <w:tmpl w:val="195E6AD4"/>
    <w:lvl w:ilvl="0" w:tplc="08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937B2C"/>
    <w:multiLevelType w:val="multilevel"/>
    <w:tmpl w:val="88F46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none"/>
      <w:lvlText w:val="2.2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9">
    <w:nsid w:val="69802706"/>
    <w:multiLevelType w:val="hybridMultilevel"/>
    <w:tmpl w:val="AD36A2C4"/>
    <w:lvl w:ilvl="0" w:tplc="3E7A26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107B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42A2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62AA7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DEFAE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B4A0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36372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9242A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43CA3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F74777A"/>
    <w:multiLevelType w:val="hybridMultilevel"/>
    <w:tmpl w:val="B622D98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6C4D85"/>
    <w:multiLevelType w:val="multilevel"/>
    <w:tmpl w:val="5846D57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2">
    <w:nsid w:val="7C22018A"/>
    <w:multiLevelType w:val="hybridMultilevel"/>
    <w:tmpl w:val="7C5A2500"/>
    <w:lvl w:ilvl="0" w:tplc="D40EA7C6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19"/>
  </w:num>
  <w:num w:numId="5">
    <w:abstractNumId w:val="10"/>
  </w:num>
  <w:num w:numId="6">
    <w:abstractNumId w:val="21"/>
  </w:num>
  <w:num w:numId="7">
    <w:abstractNumId w:val="16"/>
  </w:num>
  <w:num w:numId="8">
    <w:abstractNumId w:val="18"/>
  </w:num>
  <w:num w:numId="9">
    <w:abstractNumId w:val="14"/>
  </w:num>
  <w:num w:numId="10">
    <w:abstractNumId w:val="5"/>
  </w:num>
  <w:num w:numId="11">
    <w:abstractNumId w:val="22"/>
  </w:num>
  <w:num w:numId="12">
    <w:abstractNumId w:val="4"/>
  </w:num>
  <w:num w:numId="13">
    <w:abstractNumId w:val="12"/>
  </w:num>
  <w:num w:numId="14">
    <w:abstractNumId w:val="1"/>
  </w:num>
  <w:num w:numId="15">
    <w:abstractNumId w:val="2"/>
  </w:num>
  <w:num w:numId="16">
    <w:abstractNumId w:val="3"/>
  </w:num>
  <w:num w:numId="17">
    <w:abstractNumId w:val="6"/>
  </w:num>
  <w:num w:numId="18">
    <w:abstractNumId w:val="8"/>
  </w:num>
  <w:num w:numId="19">
    <w:abstractNumId w:val="7"/>
  </w:num>
  <w:num w:numId="20">
    <w:abstractNumId w:val="20"/>
  </w:num>
  <w:num w:numId="21">
    <w:abstractNumId w:val="17"/>
  </w:num>
  <w:num w:numId="22">
    <w:abstractNumId w:val="15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defaultTabStop w:val="708"/>
  <w:hyphenationZone w:val="425"/>
  <w:doNotHyphenateCaps/>
  <w:drawingGridHorizontalSpacing w:val="9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189"/>
    <w:rsid w:val="00121C24"/>
    <w:rsid w:val="00351D06"/>
    <w:rsid w:val="00444189"/>
    <w:rsid w:val="00723A4A"/>
    <w:rsid w:val="00B43882"/>
    <w:rsid w:val="00C95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s-MX" w:eastAsia="es-MX" w:bidi="ar-SA"/>
      </w:rPr>
    </w:rPrDefault>
    <w:pPrDefault/>
  </w:docDefaults>
  <w:latentStyles w:defLockedState="1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uiPriority="0"/>
    <w:lsdException w:name="footer" w:locked="0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uiPriority="0"/>
    <w:lsdException w:name="Body Text" w:locked="0" w:uiPriority="0"/>
    <w:lsdException w:name="Body Text Indent" w:locked="0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0" w:uiPriority="0"/>
    <w:lsdException w:name="Body Text 3" w:locked="0" w:uiPriority="0"/>
    <w:lsdException w:name="Body Text Indent 2" w:locked="0" w:uiPriority="0"/>
    <w:lsdException w:name="Body Text Indent 3" w:semiHidden="1" w:unhideWhenUsed="1"/>
    <w:lsdException w:name="Block Text" w:semiHidden="1" w:unhideWhenUsed="1"/>
    <w:lsdException w:name="Hyperlink" w:locked="0" w:uiPriority="0"/>
    <w:lsdException w:name="FollowedHyperlink" w:locked="0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uiPriority="0"/>
    <w:lsdException w:name="Table Grid" w:uiPriority="5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121C24"/>
    <w:pPr>
      <w:jc w:val="both"/>
    </w:pPr>
    <w:rPr>
      <w:rFonts w:ascii="Arial" w:hAnsi="Arial" w:cs="Arial"/>
      <w:sz w:val="18"/>
      <w:szCs w:val="18"/>
      <w:lang w:eastAsia="es-E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723A4A"/>
    <w:pPr>
      <w:keepNext/>
      <w:widowControl w:val="0"/>
      <w:numPr>
        <w:numId w:val="16"/>
      </w:numPr>
      <w:tabs>
        <w:tab w:val="clear" w:pos="720"/>
      </w:tabs>
      <w:suppressAutoHyphens/>
      <w:spacing w:before="240" w:after="60"/>
      <w:jc w:val="left"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21C24"/>
    <w:pPr>
      <w:keepNext/>
      <w:jc w:val="left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21C24"/>
    <w:pPr>
      <w:keepNext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121C24"/>
    <w:pPr>
      <w:keepNext/>
      <w:jc w:val="center"/>
      <w:outlineLvl w:val="3"/>
    </w:pPr>
    <w:rPr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21C24"/>
    <w:pPr>
      <w:keepNext/>
      <w:jc w:val="center"/>
      <w:outlineLvl w:val="4"/>
    </w:pPr>
    <w:rPr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21C24"/>
    <w:pPr>
      <w:keepNext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121C24"/>
    <w:pPr>
      <w:keepNext/>
      <w:outlineLvl w:val="6"/>
    </w:pPr>
    <w:rPr>
      <w:b/>
      <w:bCs/>
      <w:sz w:val="70"/>
      <w:szCs w:val="7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21C24"/>
    <w:pPr>
      <w:keepNext/>
      <w:outlineLvl w:val="7"/>
    </w:pPr>
    <w:rPr>
      <w:b/>
      <w:b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21C24"/>
    <w:pPr>
      <w:keepNext/>
      <w:jc w:val="center"/>
      <w:outlineLvl w:val="8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23A4A"/>
    <w:rPr>
      <w:rFonts w:ascii="Arial" w:hAnsi="Arial" w:cs="Arial"/>
      <w:b/>
      <w:bCs/>
      <w:sz w:val="22"/>
      <w:szCs w:val="22"/>
      <w:lang w:val="es-MX" w:eastAsia="es-ES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21C24"/>
    <w:rPr>
      <w:rFonts w:ascii="Cambria" w:hAnsi="Cambria" w:cs="Cambria"/>
      <w:b/>
      <w:bCs/>
      <w:i/>
      <w:iCs/>
      <w:sz w:val="28"/>
      <w:szCs w:val="28"/>
      <w:lang w:eastAsia="es-E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21C24"/>
    <w:rPr>
      <w:rFonts w:ascii="Cambria" w:hAnsi="Cambria" w:cs="Cambria"/>
      <w:b/>
      <w:bCs/>
      <w:sz w:val="26"/>
      <w:szCs w:val="26"/>
      <w:lang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21C24"/>
    <w:rPr>
      <w:rFonts w:ascii="Calibri" w:hAnsi="Calibri" w:cs="Calibri"/>
      <w:b/>
      <w:bCs/>
      <w:sz w:val="28"/>
      <w:szCs w:val="28"/>
      <w:lang w:eastAsia="es-E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121C24"/>
    <w:rPr>
      <w:rFonts w:ascii="Calibri" w:hAnsi="Calibri" w:cs="Calibri"/>
      <w:b/>
      <w:bCs/>
      <w:i/>
      <w:iCs/>
      <w:sz w:val="26"/>
      <w:szCs w:val="26"/>
      <w:lang w:eastAsia="es-E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121C24"/>
    <w:rPr>
      <w:rFonts w:ascii="Calibri" w:hAnsi="Calibri" w:cs="Calibri"/>
      <w:b/>
      <w:bCs/>
      <w:lang w:eastAsia="es-E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121C24"/>
    <w:rPr>
      <w:rFonts w:ascii="Calibri" w:hAnsi="Calibri" w:cs="Calibri"/>
      <w:sz w:val="24"/>
      <w:szCs w:val="24"/>
      <w:lang w:eastAsia="es-E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21C24"/>
    <w:rPr>
      <w:rFonts w:ascii="Calibri" w:hAnsi="Calibri" w:cs="Calibri"/>
      <w:i/>
      <w:iCs/>
      <w:sz w:val="24"/>
      <w:szCs w:val="24"/>
      <w:lang w:eastAsia="es-E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121C24"/>
    <w:rPr>
      <w:rFonts w:ascii="Cambria" w:hAnsi="Cambria" w:cs="Cambria"/>
      <w:lang w:eastAsia="es-ES"/>
    </w:rPr>
  </w:style>
  <w:style w:type="paragraph" w:styleId="Header">
    <w:name w:val="header"/>
    <w:basedOn w:val="Normal"/>
    <w:link w:val="HeaderChar"/>
    <w:autoRedefine/>
    <w:uiPriority w:val="99"/>
    <w:rsid w:val="00121C24"/>
    <w:pPr>
      <w:spacing w:before="60" w:after="60"/>
      <w:jc w:val="center"/>
    </w:pPr>
    <w:rPr>
      <w:b/>
      <w:bCs/>
      <w:color w:val="000000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21C24"/>
    <w:rPr>
      <w:rFonts w:ascii="Arial" w:hAnsi="Arial" w:cs="Arial"/>
      <w:sz w:val="20"/>
      <w:szCs w:val="20"/>
      <w:lang w:eastAsia="es-ES"/>
    </w:rPr>
  </w:style>
  <w:style w:type="paragraph" w:styleId="Footer">
    <w:name w:val="footer"/>
    <w:basedOn w:val="Normal"/>
    <w:link w:val="FooterChar"/>
    <w:uiPriority w:val="99"/>
    <w:rsid w:val="00121C24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21C24"/>
    <w:rPr>
      <w:rFonts w:ascii="Arial" w:hAnsi="Arial" w:cs="Arial"/>
      <w:sz w:val="20"/>
      <w:szCs w:val="20"/>
      <w:lang w:eastAsia="es-ES"/>
    </w:rPr>
  </w:style>
  <w:style w:type="paragraph" w:styleId="BodyText">
    <w:name w:val="Body Text"/>
    <w:basedOn w:val="Normal"/>
    <w:link w:val="BodyTextChar"/>
    <w:autoRedefine/>
    <w:uiPriority w:val="99"/>
    <w:rsid w:val="00121C24"/>
    <w:pPr>
      <w:widowControl w:val="0"/>
      <w:suppressAutoHyphens/>
      <w:ind w:left="360"/>
    </w:pPr>
    <w:rPr>
      <w:spacing w:val="-20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21C24"/>
    <w:rPr>
      <w:rFonts w:ascii="Arial" w:hAnsi="Arial" w:cs="Arial"/>
      <w:sz w:val="20"/>
      <w:szCs w:val="20"/>
      <w:lang w:eastAsia="es-ES"/>
    </w:rPr>
  </w:style>
  <w:style w:type="paragraph" w:styleId="BodyText2">
    <w:name w:val="Body Text 2"/>
    <w:basedOn w:val="Normal"/>
    <w:link w:val="BodyText2Char"/>
    <w:uiPriority w:val="99"/>
    <w:rsid w:val="00121C24"/>
    <w:pPr>
      <w:jc w:val="center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121C24"/>
    <w:rPr>
      <w:rFonts w:ascii="Arial" w:hAnsi="Arial" w:cs="Arial"/>
      <w:sz w:val="20"/>
      <w:szCs w:val="20"/>
      <w:lang w:eastAsia="es-ES"/>
    </w:rPr>
  </w:style>
  <w:style w:type="character" w:styleId="PageNumber">
    <w:name w:val="page number"/>
    <w:basedOn w:val="DefaultParagraphFont"/>
    <w:uiPriority w:val="99"/>
    <w:rsid w:val="00121C24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rsid w:val="00121C24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121C24"/>
    <w:rPr>
      <w:rFonts w:ascii="Times New Roman" w:hAnsi="Times New Roman" w:cs="Times New Roman"/>
      <w:color w:val="800080"/>
      <w:u w:val="single"/>
    </w:rPr>
  </w:style>
  <w:style w:type="paragraph" w:styleId="BodyText3">
    <w:name w:val="Body Text 3"/>
    <w:basedOn w:val="Normal"/>
    <w:link w:val="BodyText3Char"/>
    <w:uiPriority w:val="99"/>
    <w:rsid w:val="00121C24"/>
    <w:rPr>
      <w:color w:val="0000FF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21C24"/>
    <w:rPr>
      <w:rFonts w:ascii="Arial" w:hAnsi="Arial" w:cs="Arial"/>
      <w:sz w:val="16"/>
      <w:szCs w:val="16"/>
      <w:lang w:eastAsia="es-ES"/>
    </w:rPr>
  </w:style>
  <w:style w:type="paragraph" w:styleId="BodyTextIndent">
    <w:name w:val="Body Text Indent"/>
    <w:basedOn w:val="Normal"/>
    <w:link w:val="BodyTextIndentChar"/>
    <w:uiPriority w:val="99"/>
    <w:rsid w:val="00121C24"/>
    <w:pPr>
      <w:tabs>
        <w:tab w:val="left" w:pos="-1843"/>
      </w:tabs>
      <w:ind w:left="567" w:hanging="56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21C24"/>
    <w:rPr>
      <w:rFonts w:ascii="Arial" w:hAnsi="Arial" w:cs="Arial"/>
      <w:sz w:val="20"/>
      <w:szCs w:val="20"/>
      <w:lang w:eastAsia="es-ES"/>
    </w:rPr>
  </w:style>
  <w:style w:type="paragraph" w:customStyle="1" w:styleId="Ttulo21">
    <w:name w:val="Título 21"/>
    <w:basedOn w:val="Normal"/>
    <w:uiPriority w:val="99"/>
    <w:rsid w:val="00121C24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bCs/>
      <w:i/>
      <w:iCs/>
      <w:sz w:val="24"/>
      <w:szCs w:val="24"/>
      <w:lang w:val="es-ES_tradnl"/>
    </w:rPr>
  </w:style>
  <w:style w:type="paragraph" w:customStyle="1" w:styleId="Textoindependiente1">
    <w:name w:val="Texto independiente1"/>
    <w:basedOn w:val="Normal"/>
    <w:uiPriority w:val="99"/>
    <w:rsid w:val="00121C24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paragraph" w:customStyle="1" w:styleId="Textopredeterminado">
    <w:name w:val="Texto predeterminado"/>
    <w:basedOn w:val="Normal"/>
    <w:uiPriority w:val="99"/>
    <w:rsid w:val="00121C24"/>
    <w:pPr>
      <w:overflowPunct w:val="0"/>
      <w:autoSpaceDE w:val="0"/>
      <w:autoSpaceDN w:val="0"/>
      <w:adjustRightInd w:val="0"/>
      <w:jc w:val="left"/>
      <w:textAlignment w:val="baseline"/>
    </w:pPr>
    <w:rPr>
      <w:noProof/>
      <w:sz w:val="24"/>
      <w:szCs w:val="24"/>
      <w:lang w:val="es-ES"/>
    </w:rPr>
  </w:style>
  <w:style w:type="paragraph" w:customStyle="1" w:styleId="Textoindependiente21">
    <w:name w:val="Texto independiente 21"/>
    <w:basedOn w:val="Normal"/>
    <w:uiPriority w:val="99"/>
    <w:rsid w:val="00121C24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szCs w:val="20"/>
      <w:lang w:val="es-ES_tradnl"/>
    </w:rPr>
  </w:style>
  <w:style w:type="paragraph" w:styleId="BodyTextIndent2">
    <w:name w:val="Body Text Indent 2"/>
    <w:basedOn w:val="Normal"/>
    <w:link w:val="BodyTextIndent2Char"/>
    <w:uiPriority w:val="99"/>
    <w:rsid w:val="00121C24"/>
    <w:pPr>
      <w:tabs>
        <w:tab w:val="left" w:pos="851"/>
      </w:tabs>
      <w:ind w:left="851" w:hanging="851"/>
    </w:pPr>
    <w:rPr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21C24"/>
    <w:rPr>
      <w:rFonts w:ascii="Arial" w:hAnsi="Arial" w:cs="Arial"/>
      <w:sz w:val="20"/>
      <w:szCs w:val="20"/>
      <w:lang w:eastAsia="es-ES"/>
    </w:rPr>
  </w:style>
  <w:style w:type="paragraph" w:customStyle="1" w:styleId="linka">
    <w:name w:val="linka"/>
    <w:basedOn w:val="Normal"/>
    <w:uiPriority w:val="99"/>
    <w:rsid w:val="00121C24"/>
    <w:pPr>
      <w:widowControl w:val="0"/>
      <w:suppressAutoHyphens/>
      <w:spacing w:before="280" w:after="280"/>
      <w:jc w:val="left"/>
    </w:pPr>
    <w:rPr>
      <w:b/>
      <w:bCs/>
      <w:sz w:val="15"/>
      <w:szCs w:val="15"/>
      <w:lang w:eastAsia="ar-SA"/>
    </w:rPr>
  </w:style>
  <w:style w:type="character" w:customStyle="1" w:styleId="WW8Num5z0">
    <w:name w:val="WW8Num5z0"/>
    <w:uiPriority w:val="99"/>
    <w:rsid w:val="00121C24"/>
    <w:rPr>
      <w:b/>
    </w:rPr>
  </w:style>
  <w:style w:type="paragraph" w:styleId="ListParagraph">
    <w:name w:val="List Paragraph"/>
    <w:basedOn w:val="Normal"/>
    <w:uiPriority w:val="99"/>
    <w:qFormat/>
    <w:rsid w:val="00121C24"/>
    <w:pPr>
      <w:ind w:left="708"/>
    </w:pPr>
  </w:style>
  <w:style w:type="paragraph" w:customStyle="1" w:styleId="Textosinformato1">
    <w:name w:val="Texto sin formato1"/>
    <w:basedOn w:val="Normal"/>
    <w:uiPriority w:val="99"/>
    <w:rsid w:val="00121C24"/>
    <w:pPr>
      <w:suppressAutoHyphens/>
      <w:jc w:val="left"/>
    </w:pPr>
    <w:rPr>
      <w:rFonts w:ascii="Courier New" w:hAnsi="Courier New" w:cs="Courier New"/>
      <w:sz w:val="20"/>
      <w:szCs w:val="20"/>
      <w:lang w:val="es-ES_tradnl" w:eastAsia="ar-SA"/>
    </w:rPr>
  </w:style>
  <w:style w:type="paragraph" w:styleId="BalloonText">
    <w:name w:val="Balloon Text"/>
    <w:basedOn w:val="Normal"/>
    <w:link w:val="BalloonTextChar"/>
    <w:uiPriority w:val="99"/>
    <w:rsid w:val="00121C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121C24"/>
    <w:rPr>
      <w:rFonts w:ascii="Times New Roman" w:hAnsi="Times New Roman" w:cs="Times New Roman"/>
      <w:sz w:val="2"/>
      <w:szCs w:val="2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2.bin"/><Relationship Id="rId1" Type="http://schemas.openxmlformats.org/officeDocument/2006/relationships/image" Target="media/image2.png"/><Relationship Id="rId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8</Pages>
  <Words>1462</Words>
  <Characters>8041</Characters>
  <Application>Microsoft Office Outlook</Application>
  <DocSecurity>0</DocSecurity>
  <Lines>0</Lines>
  <Paragraphs>0</Paragraphs>
  <ScaleCrop>false</ScaleCrop>
  <Company>Tecnologia Aplicada a la Calidad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subject/>
  <dc:creator>Jose Luis Gazcon</dc:creator>
  <cp:keywords/>
  <dc:description/>
  <cp:lastModifiedBy>Lic Leticia Navarro</cp:lastModifiedBy>
  <cp:revision>8</cp:revision>
  <cp:lastPrinted>2012-08-18T01:15:00Z</cp:lastPrinted>
  <dcterms:created xsi:type="dcterms:W3CDTF">2012-08-15T22:11:00Z</dcterms:created>
  <dcterms:modified xsi:type="dcterms:W3CDTF">2012-08-18T01:17:00Z</dcterms:modified>
</cp:coreProperties>
</file>