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C7C19" w:rsidRPr="00AA3146" w:rsidRDefault="008C7C19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Pr="00AA3146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66881" w:rsidRDefault="00866881" w:rsidP="001F5D63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es-ES"/>
        </w:rPr>
      </w:pPr>
      <w:r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51. </w:t>
      </w:r>
      <w:r w:rsidR="001F5D63"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PROCEDIMIENTO PARA </w:t>
      </w:r>
      <w:r w:rsidR="009D1B4C"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LA NEGOCIACIÓN </w:t>
      </w:r>
      <w:r w:rsidR="005A5127"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Y SOLUCIÓN </w:t>
      </w:r>
      <w:r w:rsidR="009D1B4C">
        <w:rPr>
          <w:rFonts w:ascii="Arial" w:eastAsia="Times New Roman" w:hAnsi="Arial" w:cs="Times New Roman"/>
          <w:b/>
          <w:sz w:val="24"/>
          <w:szCs w:val="20"/>
          <w:lang w:eastAsia="es-ES"/>
        </w:rPr>
        <w:t>DE CONFLICTOS Y ASUNTOS DE CARÁCTER SINDICAL</w:t>
      </w:r>
      <w:r w:rsidR="008C7C19">
        <w:rPr>
          <w:rFonts w:ascii="Arial" w:eastAsia="Times New Roman" w:hAnsi="Arial" w:cs="Times New Roman"/>
          <w:b/>
          <w:sz w:val="24"/>
          <w:szCs w:val="20"/>
          <w:lang w:eastAsia="es-ES"/>
        </w:rPr>
        <w:t>,</w:t>
      </w:r>
      <w:r w:rsidR="009D1B4C"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 </w:t>
      </w:r>
    </w:p>
    <w:p w:rsidR="001F5D63" w:rsidRPr="00AA3146" w:rsidRDefault="009D1B4C" w:rsidP="001F5D63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  <w:lang w:eastAsia="es-ES"/>
        </w:rPr>
      </w:pPr>
      <w:r>
        <w:rPr>
          <w:rFonts w:ascii="Arial" w:eastAsia="Times New Roman" w:hAnsi="Arial" w:cs="Times New Roman"/>
          <w:b/>
          <w:sz w:val="24"/>
          <w:szCs w:val="20"/>
          <w:lang w:eastAsia="es-ES"/>
        </w:rPr>
        <w:t>EN EL ÁMBITO LOCAL Y NACIONAL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Pr="00AA3146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1.0 PROPÓSITO.</w:t>
      </w:r>
    </w:p>
    <w:p w:rsidR="001F5D63" w:rsidRPr="00C85FBD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es-ES"/>
        </w:rPr>
      </w:pPr>
    </w:p>
    <w:p w:rsidR="001F5D63" w:rsidRPr="00AA3146" w:rsidRDefault="001F5D63" w:rsidP="001F5D63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1.1</w:t>
      </w:r>
      <w:r>
        <w:rPr>
          <w:rFonts w:ascii="Arial" w:eastAsia="Times New Roman" w:hAnsi="Arial" w:cs="Times New Roman"/>
          <w:lang w:eastAsia="es-ES"/>
        </w:rPr>
        <w:t xml:space="preserve">  </w:t>
      </w:r>
      <w:r w:rsidR="009D1B4C">
        <w:rPr>
          <w:rFonts w:ascii="Arial" w:eastAsia="Times New Roman" w:hAnsi="Arial" w:cs="Times New Roman"/>
          <w:lang w:eastAsia="es-ES"/>
        </w:rPr>
        <w:t xml:space="preserve"> Resolver, rápida y eficazmente, los conflictos laborales suscitados en cualquiera de las Unidades Administrativas, Órganos Desconcentrados y Organismos Públicos Descentralizados pertenecientes al Sector, así como aquellos asuntos de carácter sindical, con la finalidad de mantener un clima de respeto y cooperación, a efecto de preservar el cumplimiento de los nobles fines de los servicios de salud.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2.0 ALCANCE.</w:t>
      </w:r>
    </w:p>
    <w:p w:rsidR="001F5D63" w:rsidRPr="00C85FBD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1F5D63" w:rsidRPr="00AA3146" w:rsidRDefault="001F5D63" w:rsidP="001F5D63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2.1</w:t>
      </w:r>
      <w:r w:rsidRPr="00AA3146">
        <w:rPr>
          <w:rFonts w:ascii="Arial" w:eastAsia="Times New Roman" w:hAnsi="Arial" w:cs="Arial"/>
          <w:lang w:eastAsia="es-ES"/>
        </w:rPr>
        <w:t xml:space="preserve"> </w:t>
      </w:r>
      <w:r>
        <w:rPr>
          <w:rFonts w:ascii="Arial" w:eastAsia="Times New Roman" w:hAnsi="Arial" w:cs="Arial"/>
          <w:lang w:eastAsia="es-ES"/>
        </w:rPr>
        <w:t xml:space="preserve"> </w:t>
      </w:r>
      <w:r w:rsidR="009D1B4C">
        <w:rPr>
          <w:rFonts w:ascii="Arial" w:eastAsia="Times New Roman" w:hAnsi="Arial" w:cs="Arial"/>
          <w:lang w:eastAsia="es-ES"/>
        </w:rPr>
        <w:t xml:space="preserve"> </w:t>
      </w:r>
      <w:r w:rsidRPr="00AA3146">
        <w:rPr>
          <w:rFonts w:ascii="Arial" w:eastAsia="Times New Roman" w:hAnsi="Arial" w:cs="Arial"/>
          <w:lang w:eastAsia="es-ES"/>
        </w:rPr>
        <w:t>El Procedimiento es aplicable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a nivel interno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para </w:t>
      </w:r>
      <w:r w:rsidR="009D1B4C">
        <w:rPr>
          <w:rFonts w:ascii="Arial" w:eastAsia="Times New Roman" w:hAnsi="Arial" w:cs="Arial"/>
          <w:lang w:eastAsia="es-ES"/>
        </w:rPr>
        <w:t xml:space="preserve">la Dirección General de Recursos Humanos, para </w:t>
      </w:r>
      <w:r>
        <w:rPr>
          <w:rFonts w:ascii="Arial" w:eastAsia="Times New Roman" w:hAnsi="Arial" w:cs="Arial"/>
          <w:lang w:eastAsia="es-ES"/>
        </w:rPr>
        <w:t xml:space="preserve">la Dirección de Relaciones Laborales, para la Subdirección de Normatividad Laboral y para </w:t>
      </w:r>
      <w:r w:rsidR="008E36FB">
        <w:rPr>
          <w:rFonts w:ascii="Arial" w:eastAsia="Times New Roman" w:hAnsi="Arial" w:cs="Arial"/>
          <w:lang w:eastAsia="es-ES"/>
        </w:rPr>
        <w:t>el Departamento de Servicios y Vinculación Laboral</w:t>
      </w:r>
      <w:r w:rsidRPr="00AA3146">
        <w:rPr>
          <w:rFonts w:ascii="Arial" w:eastAsia="Times New Roman" w:hAnsi="Arial" w:cs="Arial"/>
          <w:lang w:eastAsia="es-ES"/>
        </w:rPr>
        <w:t xml:space="preserve">.  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1F5D63" w:rsidRPr="00AA3146" w:rsidRDefault="001F5D63" w:rsidP="001F5D63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lang w:eastAsia="es-ES"/>
        </w:rPr>
        <w:t>En el ámbito externo</w:t>
      </w:r>
      <w:r>
        <w:rPr>
          <w:rFonts w:ascii="Arial" w:eastAsia="Times New Roman" w:hAnsi="Arial" w:cs="Arial"/>
          <w:lang w:eastAsia="es-ES"/>
        </w:rPr>
        <w:t>, aplica a las Unidades Administrativas y Órganos Desconcentrados de la</w:t>
      </w:r>
      <w:r w:rsidRPr="00AA3146">
        <w:rPr>
          <w:rFonts w:ascii="Arial" w:eastAsia="Times New Roman" w:hAnsi="Arial" w:cs="Arial"/>
          <w:lang w:eastAsia="es-ES"/>
        </w:rPr>
        <w:t xml:space="preserve"> Secretaría de Salud Federal, </w:t>
      </w:r>
      <w:r w:rsidR="008E36FB">
        <w:rPr>
          <w:rFonts w:ascii="Arial" w:eastAsia="Times New Roman" w:hAnsi="Arial" w:cs="Arial"/>
          <w:lang w:eastAsia="es-ES"/>
        </w:rPr>
        <w:t>a los Servicios de Salud</w:t>
      </w:r>
      <w:r>
        <w:rPr>
          <w:rFonts w:ascii="Arial" w:eastAsia="Times New Roman" w:hAnsi="Arial" w:cs="Arial"/>
          <w:lang w:eastAsia="es-ES"/>
        </w:rPr>
        <w:t xml:space="preserve"> en cada una de las Entidades Federativas, a las autoridades jurisdiccionales en m</w:t>
      </w:r>
      <w:r w:rsidR="008E36FB">
        <w:rPr>
          <w:rFonts w:ascii="Arial" w:eastAsia="Times New Roman" w:hAnsi="Arial" w:cs="Arial"/>
          <w:lang w:eastAsia="es-ES"/>
        </w:rPr>
        <w:t>ateria laboral y administrativa y al Presidente</w:t>
      </w:r>
      <w:r>
        <w:rPr>
          <w:rFonts w:ascii="Arial" w:eastAsia="Times New Roman" w:hAnsi="Arial" w:cs="Arial"/>
          <w:lang w:eastAsia="es-ES"/>
        </w:rPr>
        <w:t xml:space="preserve"> </w:t>
      </w:r>
      <w:r w:rsidR="008E36FB">
        <w:rPr>
          <w:rFonts w:ascii="Arial" w:eastAsia="Times New Roman" w:hAnsi="Arial" w:cs="Arial"/>
          <w:lang w:eastAsia="es-ES"/>
        </w:rPr>
        <w:t>de</w:t>
      </w:r>
      <w:r>
        <w:rPr>
          <w:rFonts w:ascii="Arial" w:eastAsia="Times New Roman" w:hAnsi="Arial" w:cs="Arial"/>
          <w:lang w:eastAsia="es-ES"/>
        </w:rPr>
        <w:t xml:space="preserve">l </w:t>
      </w:r>
      <w:r w:rsidRPr="00AA3146">
        <w:rPr>
          <w:rFonts w:ascii="Arial" w:eastAsia="Times New Roman" w:hAnsi="Arial" w:cs="Arial"/>
          <w:lang w:eastAsia="es-ES"/>
        </w:rPr>
        <w:t>Sindicato Nacional de Trabajadores de la Secretaría de Salud.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 xml:space="preserve">3.0 </w:t>
      </w:r>
      <w:r>
        <w:rPr>
          <w:rFonts w:ascii="Arial" w:eastAsia="Times New Roman" w:hAnsi="Arial" w:cs="Arial"/>
          <w:b/>
          <w:lang w:eastAsia="es-ES"/>
        </w:rPr>
        <w:t>POLÍTICAS DE OPERACIÓN</w:t>
      </w:r>
      <w:r w:rsidR="00207894">
        <w:rPr>
          <w:rFonts w:ascii="Arial" w:eastAsia="Times New Roman" w:hAnsi="Arial" w:cs="Arial"/>
          <w:b/>
          <w:lang w:eastAsia="es-ES"/>
        </w:rPr>
        <w:t>, NORMAS Y LINEAMIENTOS</w:t>
      </w:r>
      <w:r w:rsidRPr="00AA3146">
        <w:rPr>
          <w:rFonts w:ascii="Arial" w:eastAsia="Times New Roman" w:hAnsi="Arial" w:cs="Arial"/>
          <w:b/>
          <w:lang w:eastAsia="es-ES"/>
        </w:rPr>
        <w:t>.</w:t>
      </w:r>
    </w:p>
    <w:p w:rsidR="001F5D63" w:rsidRPr="00C85FBD" w:rsidRDefault="001F5D63" w:rsidP="001F5D6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1F5D63" w:rsidRPr="00AA3146" w:rsidRDefault="001F5D63" w:rsidP="001F5D63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3.1 </w:t>
      </w:r>
      <w:r>
        <w:rPr>
          <w:rFonts w:ascii="Arial" w:eastAsia="Times New Roman" w:hAnsi="Arial" w:cs="Times New Roman"/>
          <w:lang w:eastAsia="es-ES"/>
        </w:rPr>
        <w:t xml:space="preserve">Este Procedimiento se fundamenta en </w:t>
      </w:r>
      <w:r w:rsidR="00DF25C6">
        <w:rPr>
          <w:rFonts w:ascii="Arial" w:eastAsia="Times New Roman" w:hAnsi="Arial" w:cs="Times New Roman"/>
          <w:lang w:eastAsia="es-ES"/>
        </w:rPr>
        <w:t>los artículos</w:t>
      </w:r>
      <w:r>
        <w:rPr>
          <w:rFonts w:ascii="Arial" w:eastAsia="Times New Roman" w:hAnsi="Arial" w:cs="Times New Roman"/>
          <w:lang w:eastAsia="es-ES"/>
        </w:rPr>
        <w:t xml:space="preserve"> 1</w:t>
      </w:r>
      <w:r w:rsidR="00DF25C6">
        <w:rPr>
          <w:rFonts w:ascii="Arial" w:eastAsia="Times New Roman" w:hAnsi="Arial" w:cs="Times New Roman"/>
          <w:lang w:eastAsia="es-ES"/>
        </w:rPr>
        <w:t xml:space="preserve">6 y </w:t>
      </w:r>
      <w:r w:rsidR="00CF3070">
        <w:rPr>
          <w:rFonts w:ascii="Arial" w:eastAsia="Times New Roman" w:hAnsi="Arial" w:cs="Times New Roman"/>
          <w:lang w:eastAsia="es-ES"/>
        </w:rPr>
        <w:t xml:space="preserve">39, fracción XXIV, </w:t>
      </w:r>
      <w:r w:rsidR="00DF25C6">
        <w:rPr>
          <w:rFonts w:ascii="Arial" w:eastAsia="Times New Roman" w:hAnsi="Arial" w:cs="Times New Roman"/>
          <w:lang w:eastAsia="es-ES"/>
        </w:rPr>
        <w:t>de la Ley Orgánica de la Administración Pública Federal</w:t>
      </w:r>
      <w:r w:rsidR="00CF3070">
        <w:rPr>
          <w:rFonts w:ascii="Arial" w:eastAsia="Times New Roman" w:hAnsi="Arial" w:cs="Times New Roman"/>
          <w:lang w:eastAsia="es-ES"/>
        </w:rPr>
        <w:t>,</w:t>
      </w:r>
      <w:r>
        <w:rPr>
          <w:rFonts w:ascii="Arial" w:eastAsia="Times New Roman" w:hAnsi="Arial" w:cs="Times New Roman"/>
          <w:lang w:eastAsia="es-ES"/>
        </w:rPr>
        <w:t xml:space="preserve"> </w:t>
      </w:r>
      <w:r w:rsidR="002501F9">
        <w:rPr>
          <w:rFonts w:ascii="Arial" w:eastAsia="Times New Roman" w:hAnsi="Arial" w:cs="Times New Roman"/>
          <w:lang w:eastAsia="es-ES"/>
        </w:rPr>
        <w:t xml:space="preserve">en el </w:t>
      </w:r>
      <w:r w:rsidR="00273885">
        <w:rPr>
          <w:rFonts w:ascii="Arial" w:eastAsia="Times New Roman" w:hAnsi="Arial" w:cs="Times New Roman"/>
          <w:lang w:eastAsia="es-ES"/>
        </w:rPr>
        <w:t xml:space="preserve">29, fracción XI, del Reglamento Interior de la Secretaría de Salud </w:t>
      </w:r>
      <w:r w:rsidR="00CF3070">
        <w:rPr>
          <w:rFonts w:ascii="Arial" w:eastAsia="Times New Roman" w:hAnsi="Arial" w:cs="Times New Roman"/>
          <w:lang w:eastAsia="es-ES"/>
        </w:rPr>
        <w:t xml:space="preserve">y en </w:t>
      </w:r>
      <w:r w:rsidR="002501F9">
        <w:rPr>
          <w:rFonts w:ascii="Arial" w:eastAsia="Times New Roman" w:hAnsi="Arial" w:cs="Times New Roman"/>
          <w:lang w:eastAsia="es-ES"/>
        </w:rPr>
        <w:t>el</w:t>
      </w:r>
      <w:r w:rsidR="00CF3070">
        <w:rPr>
          <w:rFonts w:ascii="Arial" w:eastAsia="Times New Roman" w:hAnsi="Arial" w:cs="Times New Roman"/>
          <w:lang w:eastAsia="es-ES"/>
        </w:rPr>
        <w:t xml:space="preserve"> 4 de las Condiciones</w:t>
      </w:r>
      <w:r w:rsidR="002501F9">
        <w:rPr>
          <w:rFonts w:ascii="Arial" w:eastAsia="Times New Roman" w:hAnsi="Arial" w:cs="Times New Roman"/>
          <w:lang w:eastAsia="es-ES"/>
        </w:rPr>
        <w:t xml:space="preserve"> Generales de Trabajo.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1F5D63" w:rsidRPr="00AA3146" w:rsidRDefault="001F5D63" w:rsidP="001F5D63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3.2 </w:t>
      </w:r>
      <w:r w:rsidR="00E15DC1">
        <w:rPr>
          <w:rFonts w:ascii="Arial" w:eastAsia="Times New Roman" w:hAnsi="Arial" w:cs="Times New Roman"/>
          <w:lang w:eastAsia="es-ES"/>
        </w:rPr>
        <w:t>Al recibir el comunicado,</w:t>
      </w:r>
      <w:r w:rsidR="005C378F">
        <w:rPr>
          <w:rFonts w:ascii="Arial" w:eastAsia="Times New Roman" w:hAnsi="Arial" w:cs="Times New Roman"/>
          <w:lang w:eastAsia="es-ES"/>
        </w:rPr>
        <w:t xml:space="preserve"> </w:t>
      </w:r>
      <w:r w:rsidR="00E15DC1">
        <w:rPr>
          <w:rFonts w:ascii="Arial" w:eastAsia="Times New Roman" w:hAnsi="Arial" w:cs="Times New Roman"/>
          <w:lang w:eastAsia="es-ES"/>
        </w:rPr>
        <w:t xml:space="preserve">ya sea </w:t>
      </w:r>
      <w:r w:rsidR="005C378F">
        <w:rPr>
          <w:rFonts w:ascii="Arial" w:eastAsia="Times New Roman" w:hAnsi="Arial" w:cs="Times New Roman"/>
          <w:lang w:eastAsia="es-ES"/>
        </w:rPr>
        <w:t xml:space="preserve">por vía telefónica, electrónica o mediante oficio o escrito, el Director de Relaciones Laborales procede a </w:t>
      </w:r>
      <w:r w:rsidR="00E15DC1">
        <w:rPr>
          <w:rFonts w:ascii="Arial" w:eastAsia="Times New Roman" w:hAnsi="Arial" w:cs="Times New Roman"/>
          <w:lang w:eastAsia="es-ES"/>
        </w:rPr>
        <w:t>instruir al área competente para que investigue la veracidad de los hechos y, en caso de ser ciertos y tener una implicación directa o indirecta con la Secretaría de Salud, se procede a establecer una estrategia al respecto.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1F5D63" w:rsidRPr="00E15DC1" w:rsidRDefault="001F5D63" w:rsidP="001F5D63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3.3 </w:t>
      </w:r>
      <w:r w:rsidR="00E15DC1" w:rsidRPr="00E15DC1">
        <w:rPr>
          <w:rFonts w:ascii="Arial" w:eastAsia="Times New Roman" w:hAnsi="Arial" w:cs="Times New Roman"/>
          <w:lang w:eastAsia="es-ES"/>
        </w:rPr>
        <w:t xml:space="preserve">Una vez </w:t>
      </w:r>
      <w:r w:rsidR="00E15DC1">
        <w:rPr>
          <w:rFonts w:ascii="Arial" w:eastAsia="Times New Roman" w:hAnsi="Arial" w:cs="Times New Roman"/>
          <w:lang w:eastAsia="es-ES"/>
        </w:rPr>
        <w:t xml:space="preserve">que ha sido fijada la estrategia a seguir, se acude al área </w:t>
      </w:r>
      <w:r w:rsidR="00D5318C">
        <w:rPr>
          <w:rFonts w:ascii="Arial" w:eastAsia="Times New Roman" w:hAnsi="Arial" w:cs="Times New Roman"/>
          <w:lang w:eastAsia="es-ES"/>
        </w:rPr>
        <w:t>para establecer comunicación</w:t>
      </w:r>
      <w:r w:rsidR="00E15DC1">
        <w:rPr>
          <w:rFonts w:ascii="Arial" w:eastAsia="Times New Roman" w:hAnsi="Arial" w:cs="Times New Roman"/>
          <w:lang w:eastAsia="es-ES"/>
        </w:rPr>
        <w:t xml:space="preserve"> con las partes en conflicto</w:t>
      </w:r>
      <w:r w:rsidR="00D5318C">
        <w:rPr>
          <w:rFonts w:ascii="Arial" w:eastAsia="Times New Roman" w:hAnsi="Arial" w:cs="Times New Roman"/>
          <w:lang w:eastAsia="es-ES"/>
        </w:rPr>
        <w:t xml:space="preserve"> y buscar llegar a un arreglo; si es necesario, se programa mesa de negociación en la que se buscará dar solución al problema o problemas suscitados, por lo que se suscribirá la minuta que contendrá los puntos de acuerdo y las medidas a seguir para su cumplimiento.</w:t>
      </w:r>
    </w:p>
    <w:p w:rsidR="001F5D63" w:rsidRPr="00AA3146" w:rsidRDefault="001F5D63" w:rsidP="001F5D63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1F5D63" w:rsidRDefault="001F5D63" w:rsidP="001F5D63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3.4</w:t>
      </w:r>
      <w:r w:rsidR="00D5318C">
        <w:rPr>
          <w:rFonts w:ascii="Arial" w:eastAsia="Times New Roman" w:hAnsi="Arial" w:cs="Times New Roman"/>
          <w:lang w:eastAsia="es-ES"/>
        </w:rPr>
        <w:t xml:space="preserve"> Se da </w:t>
      </w:r>
      <w:r w:rsidR="00CE68D4">
        <w:rPr>
          <w:rFonts w:ascii="Arial" w:eastAsia="Times New Roman" w:hAnsi="Arial" w:cs="Times New Roman"/>
          <w:lang w:eastAsia="es-ES"/>
        </w:rPr>
        <w:t xml:space="preserve">puntual </w:t>
      </w:r>
      <w:r w:rsidR="00D5318C">
        <w:rPr>
          <w:rFonts w:ascii="Arial" w:eastAsia="Times New Roman" w:hAnsi="Arial" w:cs="Times New Roman"/>
          <w:lang w:eastAsia="es-ES"/>
        </w:rPr>
        <w:t>seguimient</w:t>
      </w:r>
      <w:r w:rsidR="00CE68D4">
        <w:rPr>
          <w:rFonts w:ascii="Arial" w:eastAsia="Times New Roman" w:hAnsi="Arial" w:cs="Times New Roman"/>
          <w:lang w:eastAsia="es-ES"/>
        </w:rPr>
        <w:t>o a los acuerdos establecidos,</w:t>
      </w:r>
      <w:r w:rsidR="00D5318C">
        <w:rPr>
          <w:rFonts w:ascii="Arial" w:eastAsia="Times New Roman" w:hAnsi="Arial" w:cs="Times New Roman"/>
          <w:lang w:eastAsia="es-ES"/>
        </w:rPr>
        <w:t xml:space="preserve"> </w:t>
      </w:r>
      <w:r w:rsidR="00CE68D4">
        <w:rPr>
          <w:rFonts w:ascii="Arial" w:eastAsia="Times New Roman" w:hAnsi="Arial" w:cs="Times New Roman"/>
          <w:lang w:eastAsia="es-ES"/>
        </w:rPr>
        <w:t>con la finalidad de corroborar</w:t>
      </w:r>
      <w:r w:rsidR="00D5318C">
        <w:rPr>
          <w:rFonts w:ascii="Arial" w:eastAsia="Times New Roman" w:hAnsi="Arial" w:cs="Times New Roman"/>
          <w:lang w:eastAsia="es-ES"/>
        </w:rPr>
        <w:t xml:space="preserve"> su cumplimiento efect</w:t>
      </w:r>
      <w:r w:rsidR="00CE68D4">
        <w:rPr>
          <w:rFonts w:ascii="Arial" w:eastAsia="Times New Roman" w:hAnsi="Arial" w:cs="Times New Roman"/>
          <w:lang w:eastAsia="es-ES"/>
        </w:rPr>
        <w:t>ivo y, con ello, dar por terminado el conflicto.</w:t>
      </w:r>
    </w:p>
    <w:p w:rsidR="00207894" w:rsidRDefault="00207894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4.0 DESCRIPCIÓN DEL PROCEDIMIENTO</w:t>
      </w:r>
    </w:p>
    <w:p w:rsidR="001F5D63" w:rsidRPr="00AA3146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tbl>
      <w:tblPr>
        <w:tblW w:w="10229" w:type="dxa"/>
        <w:jc w:val="center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5540"/>
        <w:gridCol w:w="3057"/>
      </w:tblGrid>
      <w:tr w:rsidR="001F5D63" w:rsidRPr="00AA3146" w:rsidTr="00256A0D">
        <w:trPr>
          <w:jc w:val="center"/>
        </w:trPr>
        <w:tc>
          <w:tcPr>
            <w:tcW w:w="1632" w:type="dxa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SECUENCIA DE ETAPAS</w:t>
            </w:r>
          </w:p>
        </w:tc>
        <w:tc>
          <w:tcPr>
            <w:tcW w:w="5540" w:type="dxa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ACTIVIDAD</w:t>
            </w:r>
          </w:p>
        </w:tc>
        <w:tc>
          <w:tcPr>
            <w:tcW w:w="3057" w:type="dxa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RESPONSABLE</w:t>
            </w:r>
          </w:p>
        </w:tc>
      </w:tr>
      <w:tr w:rsidR="001F5D63" w:rsidRPr="00AA3146" w:rsidTr="00256A0D">
        <w:trPr>
          <w:jc w:val="center"/>
        </w:trPr>
        <w:tc>
          <w:tcPr>
            <w:tcW w:w="1632" w:type="dxa"/>
            <w:shd w:val="clear" w:color="auto" w:fill="auto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1F5D63" w:rsidRPr="008F145A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32"/>
                <w:szCs w:val="32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1.0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51443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Recepción de comunicado</w:t>
            </w:r>
          </w:p>
        </w:tc>
        <w:tc>
          <w:tcPr>
            <w:tcW w:w="5540" w:type="dxa"/>
            <w:shd w:val="clear" w:color="auto" w:fill="auto"/>
          </w:tcPr>
          <w:p w:rsidR="001F5D63" w:rsidRPr="008F145A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1F5D63" w:rsidRPr="00AA3146" w:rsidRDefault="0051443C" w:rsidP="00081CA3">
            <w:pPr>
              <w:tabs>
                <w:tab w:val="left" w:pos="0"/>
              </w:tabs>
              <w:spacing w:after="0" w:line="240" w:lineRule="auto"/>
              <w:ind w:left="516" w:hanging="426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1.1 La Dirección General de Recursos Humanos o la Dirección de Relaciones Laborales</w:t>
            </w:r>
            <w:r w:rsidR="00155677">
              <w:rPr>
                <w:rFonts w:ascii="Arial" w:eastAsia="Times New Roman" w:hAnsi="Arial" w:cs="Times New Roman"/>
                <w:lang w:eastAsia="es-ES"/>
              </w:rPr>
              <w:t>,</w:t>
            </w:r>
            <w:r>
              <w:rPr>
                <w:rFonts w:ascii="Arial" w:eastAsia="Times New Roman" w:hAnsi="Arial" w:cs="Times New Roman"/>
                <w:lang w:eastAsia="es-ES"/>
              </w:rPr>
              <w:t xml:space="preserve"> recibe el reporte y procede a coordinar la estrategia que habrá de seguirse para buscar una solución al conflicto a la mayor brevedad, de forma pacífica y responsable.</w:t>
            </w:r>
          </w:p>
          <w:p w:rsidR="001F5D63" w:rsidRPr="00AA3146" w:rsidRDefault="0051443C" w:rsidP="0051443C">
            <w:pPr>
              <w:tabs>
                <w:tab w:val="left" w:pos="-51"/>
              </w:tabs>
              <w:spacing w:after="0" w:line="240" w:lineRule="auto"/>
              <w:ind w:left="516" w:hanging="567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 </w:t>
            </w:r>
          </w:p>
          <w:p w:rsidR="001F5D63" w:rsidRPr="00AA3146" w:rsidRDefault="00155677" w:rsidP="001F5D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Oficio, escrito o correo electrónico</w:t>
            </w:r>
            <w:r w:rsidR="008F145A">
              <w:rPr>
                <w:rFonts w:ascii="Arial" w:eastAsia="Times New Roman" w:hAnsi="Arial" w:cs="Times New Roman"/>
                <w:lang w:eastAsia="es-ES"/>
              </w:rPr>
              <w:t xml:space="preserve"> de reporte</w:t>
            </w:r>
            <w:r w:rsidR="001F5D63">
              <w:rPr>
                <w:rFonts w:ascii="Arial" w:eastAsia="Times New Roman" w:hAnsi="Arial" w:cs="Times New Roman"/>
                <w:lang w:eastAsia="es-ES"/>
              </w:rPr>
              <w:t>.</w:t>
            </w:r>
          </w:p>
        </w:tc>
        <w:tc>
          <w:tcPr>
            <w:tcW w:w="3057" w:type="dxa"/>
            <w:shd w:val="clear" w:color="auto" w:fill="auto"/>
          </w:tcPr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8F145A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32"/>
                <w:szCs w:val="32"/>
                <w:lang w:eastAsia="es-ES"/>
              </w:rPr>
            </w:pPr>
          </w:p>
          <w:p w:rsidR="001F5D63" w:rsidRPr="00AA3146" w:rsidRDefault="008F145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Dirección General de Recursos Humanos/</w:t>
            </w:r>
            <w:r w:rsidR="001F5D63">
              <w:rPr>
                <w:rFonts w:ascii="Arial" w:eastAsia="Times New Roman" w:hAnsi="Arial" w:cs="Times New Roman"/>
                <w:lang w:eastAsia="es-ES"/>
              </w:rPr>
              <w:t xml:space="preserve"> Dirección de Relaciones Laborales</w:t>
            </w:r>
            <w:r>
              <w:rPr>
                <w:rFonts w:ascii="Arial" w:eastAsia="Times New Roman" w:hAnsi="Arial" w:cs="Times New Roman"/>
                <w:lang w:eastAsia="es-ES"/>
              </w:rPr>
              <w:t>.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</w:tr>
      <w:tr w:rsidR="001F5D63" w:rsidRPr="00AA3146" w:rsidTr="00256A0D">
        <w:trPr>
          <w:jc w:val="center"/>
        </w:trPr>
        <w:tc>
          <w:tcPr>
            <w:tcW w:w="1632" w:type="dxa"/>
            <w:shd w:val="clear" w:color="auto" w:fill="auto"/>
          </w:tcPr>
          <w:p w:rsidR="001F5D63" w:rsidRPr="00E43691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1F5D63" w:rsidRPr="0030688A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2.0</w:t>
            </w: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8F145A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Se acude al área de conflicto</w:t>
            </w:r>
          </w:p>
        </w:tc>
        <w:tc>
          <w:tcPr>
            <w:tcW w:w="5540" w:type="dxa"/>
            <w:shd w:val="clear" w:color="auto" w:fill="auto"/>
          </w:tcPr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2.</w:t>
            </w:r>
            <w:r w:rsidR="008F145A">
              <w:rPr>
                <w:rFonts w:ascii="Arial" w:eastAsia="Times New Roman" w:hAnsi="Arial" w:cs="Times New Roman"/>
                <w:lang w:eastAsia="es-ES"/>
              </w:rPr>
              <w:t xml:space="preserve">1 </w:t>
            </w:r>
            <w:r w:rsidR="0030688A">
              <w:rPr>
                <w:rFonts w:ascii="Arial" w:eastAsia="Times New Roman" w:hAnsi="Arial" w:cs="Times New Roman"/>
                <w:lang w:eastAsia="es-ES"/>
              </w:rPr>
              <w:t xml:space="preserve">Al acudir al área de conflicto, se establece un canal de comunicación </w:t>
            </w:r>
            <w:r w:rsidR="00D124E7">
              <w:rPr>
                <w:rFonts w:ascii="Arial" w:eastAsia="Times New Roman" w:hAnsi="Arial" w:cs="Times New Roman"/>
                <w:lang w:eastAsia="es-ES"/>
              </w:rPr>
              <w:t>abierta</w:t>
            </w:r>
            <w:r w:rsidR="0030688A">
              <w:rPr>
                <w:rFonts w:ascii="Arial" w:eastAsia="Times New Roman" w:hAnsi="Arial" w:cs="Times New Roman"/>
                <w:lang w:eastAsia="es-ES"/>
              </w:rPr>
              <w:t xml:space="preserve"> con las autoridades de la Unidad Operativa y con la representación sindical de los trabajadores inconformes, a efecto de conocer sus necesidades y señalar las posibles soluciones.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  <w:tc>
          <w:tcPr>
            <w:tcW w:w="3057" w:type="dxa"/>
            <w:shd w:val="clear" w:color="auto" w:fill="auto"/>
          </w:tcPr>
          <w:p w:rsidR="001F5D63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30688A" w:rsidRDefault="0030688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30688A" w:rsidRPr="0030688A" w:rsidRDefault="0030688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Dirección de Relaciones Laborales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</w:tr>
      <w:tr w:rsidR="001F5D63" w:rsidRPr="00AA3146" w:rsidTr="00256A0D">
        <w:trPr>
          <w:jc w:val="center"/>
        </w:trPr>
        <w:tc>
          <w:tcPr>
            <w:tcW w:w="1632" w:type="dxa"/>
            <w:shd w:val="clear" w:color="auto" w:fill="auto"/>
          </w:tcPr>
          <w:p w:rsidR="001F5D63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3.0</w:t>
            </w: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36026E" w:rsidP="0036026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Se da solución al conflicto</w:t>
            </w:r>
          </w:p>
        </w:tc>
        <w:tc>
          <w:tcPr>
            <w:tcW w:w="5540" w:type="dxa"/>
            <w:shd w:val="clear" w:color="auto" w:fill="auto"/>
          </w:tcPr>
          <w:p w:rsidR="001F5D63" w:rsidRPr="007208F0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1F5D63" w:rsidRPr="00AA3146" w:rsidRDefault="0030688A" w:rsidP="00081CA3">
            <w:pPr>
              <w:spacing w:after="0" w:line="240" w:lineRule="auto"/>
              <w:ind w:left="374" w:hanging="374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3.1 </w:t>
            </w:r>
            <w:r w:rsidR="00D124E7">
              <w:rPr>
                <w:rFonts w:ascii="Arial" w:eastAsia="Times New Roman" w:hAnsi="Arial" w:cs="Times New Roman"/>
                <w:lang w:eastAsia="es-ES"/>
              </w:rPr>
              <w:t>Una vez logrado el consenso entre las partes, l</w:t>
            </w:r>
            <w:r>
              <w:rPr>
                <w:rFonts w:ascii="Arial" w:eastAsia="Times New Roman" w:hAnsi="Arial" w:cs="Times New Roman"/>
                <w:lang w:eastAsia="es-ES"/>
              </w:rPr>
              <w:t>a</w:t>
            </w:r>
            <w:r w:rsidR="001F5D63">
              <w:rPr>
                <w:rFonts w:ascii="Arial" w:eastAsia="Times New Roman" w:hAnsi="Arial" w:cs="Times New Roman"/>
                <w:lang w:eastAsia="es-ES"/>
              </w:rPr>
              <w:t xml:space="preserve"> Dirección de Relaciones Laborales </w:t>
            </w:r>
            <w:r w:rsidR="00D124E7">
              <w:rPr>
                <w:rFonts w:ascii="Arial" w:eastAsia="Times New Roman" w:hAnsi="Arial" w:cs="Times New Roman"/>
                <w:lang w:eastAsia="es-ES"/>
              </w:rPr>
              <w:t xml:space="preserve">interviene en la celebración de la Minuta de Acuerdo.  Durante los días posteriores, supervisa que sean cumplidos los compromisos, uno a uno, ahí establecidos.  Se anexan todos aquellos documentos que fueron generados durante el conflicto (pliego petitorio, circulares, comunicados, fotografías, </w:t>
            </w:r>
            <w:r w:rsidR="0036026E">
              <w:rPr>
                <w:rFonts w:ascii="Arial" w:eastAsia="Times New Roman" w:hAnsi="Arial" w:cs="Times New Roman"/>
                <w:lang w:eastAsia="es-ES"/>
              </w:rPr>
              <w:t>etc.)</w:t>
            </w:r>
          </w:p>
          <w:p w:rsidR="001F5D63" w:rsidRPr="007208F0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1F5D63" w:rsidRDefault="0030688A" w:rsidP="001F5D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Minuta de Acuerdo y demás documentos generados</w:t>
            </w:r>
            <w:r w:rsidR="0036026E">
              <w:rPr>
                <w:rFonts w:ascii="Arial" w:eastAsia="Times New Roman" w:hAnsi="Arial" w:cs="Times New Roman"/>
                <w:lang w:eastAsia="es-ES"/>
              </w:rPr>
              <w:t>, los cuales se integran en expediente).</w:t>
            </w:r>
          </w:p>
          <w:p w:rsidR="001F5D63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TERMINA PROCEDIMIENTO</w:t>
            </w:r>
          </w:p>
        </w:tc>
        <w:tc>
          <w:tcPr>
            <w:tcW w:w="3057" w:type="dxa"/>
            <w:shd w:val="clear" w:color="auto" w:fill="auto"/>
          </w:tcPr>
          <w:p w:rsidR="001F5D63" w:rsidRPr="0036026E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56"/>
                <w:szCs w:val="56"/>
                <w:lang w:eastAsia="es-ES"/>
              </w:rPr>
            </w:pPr>
          </w:p>
          <w:p w:rsidR="0036026E" w:rsidRPr="00470B34" w:rsidRDefault="0036026E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0"/>
                <w:szCs w:val="80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Dirección de Relaciones Laborales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</w:tr>
    </w:tbl>
    <w:p w:rsidR="001F5D63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Default="001F5D63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6026E" w:rsidRDefault="0036026E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6026E" w:rsidRDefault="0036026E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40C2C" w:rsidRDefault="00740C2C" w:rsidP="001F5D63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5.0 DIAGRAMA DE FLUJO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1F5D63" w:rsidRPr="00AA3146" w:rsidRDefault="0064309C" w:rsidP="001F5D63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sz w:val="18"/>
          <w:szCs w:val="20"/>
          <w:lang w:eastAsia="es-ES"/>
        </w:rPr>
        <w:object w:dxaOrig="6404" w:dyaOrig="1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85pt;height:484.45pt" o:ole="">
            <v:imagedata r:id="rId8" o:title=""/>
          </v:shape>
          <o:OLEObject Type="Embed" ProgID="Visio.Drawing.11" ShapeID="_x0000_i1025" DrawAspect="Content" ObjectID="_1407857975" r:id="rId9"/>
        </w:object>
      </w: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740C2C" w:rsidRDefault="00740C2C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bookmarkStart w:id="0" w:name="_GoBack"/>
      <w:bookmarkEnd w:id="0"/>
      <w:r w:rsidRPr="00AA3146">
        <w:rPr>
          <w:rFonts w:ascii="Arial" w:eastAsia="Times New Roman" w:hAnsi="Arial" w:cs="Times New Roman"/>
          <w:b/>
          <w:lang w:eastAsia="es-ES"/>
        </w:rPr>
        <w:t>6.0 DOCUMENTOS DE REFERENCIA.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2976"/>
      </w:tblGrid>
      <w:tr w:rsidR="001F5D63" w:rsidRPr="00AA3146" w:rsidTr="00256A0D">
        <w:trPr>
          <w:trHeight w:val="374"/>
        </w:trPr>
        <w:tc>
          <w:tcPr>
            <w:tcW w:w="6380" w:type="dxa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  <w:tc>
          <w:tcPr>
            <w:tcW w:w="2976" w:type="dxa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</w:tr>
      <w:tr w:rsidR="006356DA" w:rsidRPr="00AA3146" w:rsidTr="00256A0D">
        <w:trPr>
          <w:trHeight w:val="230"/>
        </w:trPr>
        <w:tc>
          <w:tcPr>
            <w:tcW w:w="6380" w:type="dxa"/>
            <w:shd w:val="clear" w:color="auto" w:fill="auto"/>
          </w:tcPr>
          <w:p w:rsidR="006356DA" w:rsidRDefault="006356D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Ley Orgánica de la Administración Pública Federal</w:t>
            </w:r>
          </w:p>
        </w:tc>
        <w:tc>
          <w:tcPr>
            <w:tcW w:w="2976" w:type="dxa"/>
            <w:shd w:val="clear" w:color="auto" w:fill="auto"/>
          </w:tcPr>
          <w:p w:rsidR="006356DA" w:rsidRPr="00AA3146" w:rsidRDefault="006356DA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1F5D63" w:rsidRPr="00AA3146" w:rsidTr="00256A0D">
        <w:trPr>
          <w:trHeight w:val="230"/>
        </w:trPr>
        <w:tc>
          <w:tcPr>
            <w:tcW w:w="6380" w:type="dxa"/>
            <w:shd w:val="clear" w:color="auto" w:fill="auto"/>
          </w:tcPr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Reglamento Interior de la Secretaría de Salud</w:t>
            </w:r>
          </w:p>
        </w:tc>
        <w:tc>
          <w:tcPr>
            <w:tcW w:w="2976" w:type="dxa"/>
            <w:shd w:val="clear" w:color="auto" w:fill="auto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6356DA" w:rsidRPr="00AA3146" w:rsidTr="00256A0D">
        <w:trPr>
          <w:trHeight w:val="230"/>
        </w:trPr>
        <w:tc>
          <w:tcPr>
            <w:tcW w:w="6380" w:type="dxa"/>
            <w:shd w:val="clear" w:color="auto" w:fill="auto"/>
          </w:tcPr>
          <w:p w:rsidR="006356DA" w:rsidRDefault="006356D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Condiciones Generales de Trabajo</w:t>
            </w:r>
          </w:p>
        </w:tc>
        <w:tc>
          <w:tcPr>
            <w:tcW w:w="2976" w:type="dxa"/>
            <w:shd w:val="clear" w:color="auto" w:fill="auto"/>
          </w:tcPr>
          <w:p w:rsidR="006356DA" w:rsidRPr="00AA3146" w:rsidRDefault="00E94539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7.0 REGISTROS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81" w:type="dxa"/>
        <w:jc w:val="center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3247"/>
        <w:gridCol w:w="14"/>
        <w:gridCol w:w="1971"/>
        <w:gridCol w:w="14"/>
        <w:gridCol w:w="2112"/>
        <w:gridCol w:w="14"/>
        <w:gridCol w:w="1970"/>
        <w:gridCol w:w="14"/>
      </w:tblGrid>
      <w:tr w:rsidR="001F5D63" w:rsidRPr="00AA3146" w:rsidTr="00256A0D">
        <w:trPr>
          <w:gridAfter w:val="1"/>
          <w:wAfter w:w="14" w:type="dxa"/>
          <w:jc w:val="center"/>
        </w:trPr>
        <w:tc>
          <w:tcPr>
            <w:tcW w:w="3272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REGISTRO</w:t>
            </w:r>
          </w:p>
        </w:tc>
        <w:tc>
          <w:tcPr>
            <w:tcW w:w="1985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TIEMPO DE CONSERVACIÓN</w:t>
            </w:r>
          </w:p>
        </w:tc>
        <w:tc>
          <w:tcPr>
            <w:tcW w:w="2126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RESPONSABLE</w:t>
            </w: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DE CONSERVARLO</w:t>
            </w:r>
          </w:p>
        </w:tc>
        <w:tc>
          <w:tcPr>
            <w:tcW w:w="1984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  <w:t>CÓDIGO DE REGISTRO O IDENTIFICACIÓN ÚNICA</w:t>
            </w:r>
          </w:p>
        </w:tc>
      </w:tr>
      <w:tr w:rsidR="001F5D63" w:rsidRPr="00AA3146" w:rsidTr="00256A0D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1F5D63" w:rsidRPr="003D7785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1F5D63" w:rsidRPr="003D7785" w:rsidRDefault="006356DA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Oficio o escrito de solicitud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F5D63" w:rsidRPr="005400E7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1F5D63" w:rsidRPr="003D7785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3D7785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  <w:p w:rsidR="001F5D63" w:rsidRPr="003D7785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6356DA" w:rsidRDefault="006356D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6356DA" w:rsidRDefault="006356D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6356DA" w:rsidRDefault="006356DA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Dirección de Relaciones Laborales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F5D63" w:rsidRPr="003D7785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1F5D63" w:rsidRPr="003D7785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 w:rsidRPr="003D7785"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El número del oficio o número que se dé como registro de entrada</w:t>
            </w:r>
          </w:p>
        </w:tc>
      </w:tr>
      <w:tr w:rsidR="00086DDC" w:rsidRPr="00AA3146" w:rsidTr="00256A0D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086DDC" w:rsidRPr="00AA3146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086DDC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Minuta de Acuerdo</w:t>
            </w:r>
          </w:p>
          <w:p w:rsidR="00086DDC" w:rsidRPr="00AA3146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86DDC" w:rsidRPr="005400E7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086DDC" w:rsidRPr="00AA3146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86DDC" w:rsidRDefault="00086DDC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086DDC" w:rsidRPr="00086DDC" w:rsidRDefault="00086DDC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086DDC" w:rsidRPr="00AA3146" w:rsidRDefault="00086DDC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Dirección de Relaciones Laborales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086DDC" w:rsidRPr="00AA3146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086DDC" w:rsidRPr="00AA3146" w:rsidRDefault="00086DDC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No aplica</w:t>
            </w:r>
          </w:p>
        </w:tc>
      </w:tr>
    </w:tbl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8.0 GLOSARIO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1F5D63" w:rsidRPr="00AA3146" w:rsidRDefault="00086DDC" w:rsidP="00086DDC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8.1</w:t>
      </w:r>
      <w:r w:rsidRPr="00086DDC">
        <w:rPr>
          <w:rFonts w:ascii="Arial" w:eastAsia="Times New Roman" w:hAnsi="Arial" w:cs="Times New Roman"/>
          <w:lang w:eastAsia="es-ES"/>
        </w:rPr>
        <w:t xml:space="preserve">   No aplica.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9.0 CAMBIOS DE ESTA VERSIÓN.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7594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1472"/>
        <w:gridCol w:w="229"/>
        <w:gridCol w:w="2606"/>
        <w:gridCol w:w="229"/>
        <w:gridCol w:w="2606"/>
        <w:gridCol w:w="223"/>
      </w:tblGrid>
      <w:tr w:rsidR="001F5D63" w:rsidRPr="00AA3146" w:rsidTr="00256A0D">
        <w:trPr>
          <w:gridBefore w:val="1"/>
          <w:wBefore w:w="229" w:type="dxa"/>
          <w:jc w:val="center"/>
        </w:trPr>
        <w:tc>
          <w:tcPr>
            <w:tcW w:w="1701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NÚMERO DE REVISIÓN</w:t>
            </w:r>
          </w:p>
        </w:tc>
        <w:tc>
          <w:tcPr>
            <w:tcW w:w="2835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FECHA DE LA ACTUALIZACIÓN</w:t>
            </w:r>
          </w:p>
        </w:tc>
        <w:tc>
          <w:tcPr>
            <w:tcW w:w="2829" w:type="dxa"/>
            <w:gridSpan w:val="2"/>
            <w:shd w:val="clear" w:color="auto" w:fill="CCCCCC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DESCRIPCIÓN DEL CAMBIO</w:t>
            </w:r>
          </w:p>
        </w:tc>
      </w:tr>
      <w:tr w:rsidR="001F5D63" w:rsidRPr="00AA3146" w:rsidTr="00256A0D">
        <w:tblPrEx>
          <w:jc w:val="left"/>
        </w:tblPrEx>
        <w:trPr>
          <w:gridAfter w:val="1"/>
          <w:wAfter w:w="223" w:type="dxa"/>
        </w:trPr>
        <w:tc>
          <w:tcPr>
            <w:tcW w:w="1701" w:type="dxa"/>
            <w:gridSpan w:val="2"/>
            <w:shd w:val="clear" w:color="auto" w:fill="auto"/>
          </w:tcPr>
          <w:p w:rsidR="001F5D63" w:rsidRPr="005A5127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1F5D63" w:rsidRPr="003D7785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1F5D63" w:rsidRPr="00AA3146" w:rsidRDefault="005A5127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F5D63" w:rsidRPr="005A5127" w:rsidRDefault="001F5D63" w:rsidP="00256A0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1F5D63" w:rsidRPr="00AA3146" w:rsidRDefault="005A5127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F5D63" w:rsidRPr="00AA3146" w:rsidRDefault="001F5D63" w:rsidP="00256A0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1F5D63" w:rsidRPr="005A5127" w:rsidRDefault="005A5127" w:rsidP="005A512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5A5127"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1F5D63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10.0 ANEXOS</w:t>
      </w:r>
    </w:p>
    <w:p w:rsidR="001F5D63" w:rsidRPr="00AA3146" w:rsidRDefault="001F5D63" w:rsidP="001F5D63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762EB8" w:rsidRDefault="001F5D63" w:rsidP="001F5D63">
      <w:pPr>
        <w:spacing w:after="0" w:line="240" w:lineRule="auto"/>
        <w:ind w:left="540" w:hanging="540"/>
        <w:jc w:val="both"/>
      </w:pPr>
      <w:r w:rsidRPr="00AA3146">
        <w:rPr>
          <w:rFonts w:ascii="Arial" w:eastAsia="Times New Roman" w:hAnsi="Arial" w:cs="Times New Roman"/>
          <w:b/>
          <w:lang w:eastAsia="es-ES"/>
        </w:rPr>
        <w:t>10.1</w:t>
      </w:r>
      <w:r w:rsidR="00086DDC">
        <w:rPr>
          <w:rFonts w:ascii="Arial" w:eastAsia="Times New Roman" w:hAnsi="Arial" w:cs="Times New Roman"/>
          <w:lang w:eastAsia="es-ES"/>
        </w:rPr>
        <w:t xml:space="preserve"> Antecedentes documentales del conflicto suscitado en el Instituto de Salud de Chiapas. </w:t>
      </w:r>
      <w:r w:rsidRPr="00AA3146">
        <w:rPr>
          <w:rFonts w:ascii="Arial" w:eastAsia="Times New Roman" w:hAnsi="Arial" w:cs="Times New Roman"/>
          <w:lang w:eastAsia="es-ES"/>
        </w:rPr>
        <w:t>(</w:t>
      </w:r>
      <w:r w:rsidRPr="00AA3146">
        <w:rPr>
          <w:rFonts w:ascii="Arial" w:eastAsia="Times New Roman" w:hAnsi="Arial" w:cs="Times New Roman"/>
          <w:b/>
          <w:lang w:eastAsia="es-ES"/>
        </w:rPr>
        <w:t>Anexo</w:t>
      </w:r>
      <w:r>
        <w:rPr>
          <w:rFonts w:ascii="Arial" w:eastAsia="Times New Roman" w:hAnsi="Arial" w:cs="Times New Roman"/>
          <w:b/>
          <w:lang w:eastAsia="es-ES"/>
        </w:rPr>
        <w:t xml:space="preserve"> Único</w:t>
      </w:r>
      <w:r w:rsidRPr="00AA3146">
        <w:rPr>
          <w:rFonts w:ascii="Arial" w:eastAsia="Times New Roman" w:hAnsi="Arial" w:cs="Times New Roman"/>
          <w:lang w:eastAsia="es-ES"/>
        </w:rPr>
        <w:t>).</w:t>
      </w:r>
    </w:p>
    <w:sectPr w:rsidR="00762EB8" w:rsidSect="003A6E70">
      <w:headerReference w:type="default" r:id="rId10"/>
      <w:footerReference w:type="default" r:id="rId11"/>
      <w:pgSz w:w="12240" w:h="15840"/>
      <w:pgMar w:top="851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C3" w:rsidRDefault="00DC6CC3" w:rsidP="009D1B4C">
      <w:pPr>
        <w:spacing w:after="0" w:line="240" w:lineRule="auto"/>
      </w:pPr>
      <w:r>
        <w:separator/>
      </w:r>
    </w:p>
  </w:endnote>
  <w:endnote w:type="continuationSeparator" w:id="0">
    <w:p w:rsidR="00DC6CC3" w:rsidRDefault="00DC6CC3" w:rsidP="009D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63B" w:rsidRDefault="00DC6CC3">
    <w:pPr>
      <w:pStyle w:val="Piedepgina"/>
    </w:pPr>
  </w:p>
  <w:p w:rsidR="0008763B" w:rsidRPr="0008763B" w:rsidRDefault="00DC6CC3" w:rsidP="0008763B">
    <w:pPr>
      <w:tabs>
        <w:tab w:val="center" w:pos="4419"/>
        <w:tab w:val="right" w:pos="8838"/>
      </w:tabs>
      <w:spacing w:after="0" w:line="240" w:lineRule="auto"/>
      <w:jc w:val="both"/>
      <w:rPr>
        <w:rFonts w:ascii="Arial" w:eastAsia="Times New Roman" w:hAnsi="Arial" w:cs="Times New Roman"/>
        <w:sz w:val="10"/>
        <w:szCs w:val="20"/>
        <w:lang w:eastAsia="es-ES"/>
      </w:rPr>
    </w:pPr>
  </w:p>
  <w:p w:rsidR="0008763B" w:rsidRDefault="00DC6CC3">
    <w:pPr>
      <w:pStyle w:val="Piedepgina"/>
    </w:pPr>
  </w:p>
  <w:p w:rsidR="0008763B" w:rsidRDefault="00DC6CC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C3" w:rsidRDefault="00DC6CC3" w:rsidP="009D1B4C">
      <w:pPr>
        <w:spacing w:after="0" w:line="240" w:lineRule="auto"/>
      </w:pPr>
      <w:r>
        <w:separator/>
      </w:r>
    </w:p>
  </w:footnote>
  <w:footnote w:type="continuationSeparator" w:id="0">
    <w:p w:rsidR="00DC6CC3" w:rsidRDefault="00DC6CC3" w:rsidP="009D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095"/>
      <w:gridCol w:w="2126"/>
    </w:tblGrid>
    <w:tr w:rsidR="00B003C8" w:rsidRPr="0008763B" w:rsidTr="00B003C8">
      <w:trPr>
        <w:cantSplit/>
        <w:trHeight w:val="423"/>
      </w:trPr>
      <w:tc>
        <w:tcPr>
          <w:tcW w:w="1702" w:type="dxa"/>
          <w:vMerge w:val="restart"/>
          <w:vAlign w:val="center"/>
        </w:tcPr>
        <w:p w:rsidR="00B003C8" w:rsidRPr="0008763B" w:rsidRDefault="00AE2BAC" w:rsidP="0008763B">
          <w:pPr>
            <w:spacing w:after="0" w:line="240" w:lineRule="auto"/>
            <w:rPr>
              <w:rFonts w:ascii="Arial" w:eastAsia="Times New Roman" w:hAnsi="Arial" w:cs="Times New Roman"/>
              <w:sz w:val="18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noProof/>
              <w:sz w:val="18"/>
              <w:szCs w:val="20"/>
              <w:lang w:eastAsia="es-MX"/>
            </w:rPr>
            <w:drawing>
              <wp:inline distT="0" distB="0" distL="0" distR="0" wp14:anchorId="0C089E48" wp14:editId="41ACD6E5">
                <wp:extent cx="990600" cy="7315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:rsidR="00B003C8" w:rsidRPr="0008763B" w:rsidRDefault="00AE2BAC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MANUAL DE PROCEDIMIENTOS</w:t>
          </w:r>
        </w:p>
      </w:tc>
      <w:tc>
        <w:tcPr>
          <w:tcW w:w="2126" w:type="dxa"/>
          <w:vMerge w:val="restart"/>
          <w:vAlign w:val="center"/>
        </w:tcPr>
        <w:p w:rsidR="00B003C8" w:rsidRPr="0008763B" w:rsidRDefault="00AE2BAC" w:rsidP="00B003C8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B003C8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Código</w:t>
          </w: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: No aplica.</w:t>
          </w:r>
        </w:p>
      </w:tc>
    </w:tr>
    <w:tr w:rsidR="00B003C8" w:rsidRPr="0008763B" w:rsidTr="00B003C8">
      <w:trPr>
        <w:cantSplit/>
        <w:trHeight w:val="283"/>
      </w:trPr>
      <w:tc>
        <w:tcPr>
          <w:tcW w:w="1702" w:type="dxa"/>
          <w:vMerge/>
          <w:vAlign w:val="center"/>
        </w:tcPr>
        <w:p w:rsidR="00B003C8" w:rsidRPr="0008763B" w:rsidRDefault="00DC6CC3" w:rsidP="0008763B">
          <w:pPr>
            <w:spacing w:after="0" w:line="240" w:lineRule="auto"/>
            <w:rPr>
              <w:rFonts w:ascii="Arial" w:eastAsia="Times New Roman" w:hAnsi="Arial" w:cs="Times New Roman"/>
              <w:noProof/>
              <w:sz w:val="18"/>
              <w:szCs w:val="20"/>
              <w:lang w:eastAsia="es-ES"/>
            </w:rPr>
          </w:pPr>
        </w:p>
      </w:tc>
      <w:tc>
        <w:tcPr>
          <w:tcW w:w="6095" w:type="dxa"/>
          <w:vAlign w:val="center"/>
        </w:tcPr>
        <w:p w:rsidR="00B003C8" w:rsidRPr="0008763B" w:rsidRDefault="00AE2BAC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Dirección de Relaciones Laborales</w:t>
          </w:r>
        </w:p>
      </w:tc>
      <w:tc>
        <w:tcPr>
          <w:tcW w:w="2126" w:type="dxa"/>
          <w:vMerge/>
          <w:vAlign w:val="center"/>
        </w:tcPr>
        <w:p w:rsidR="00B003C8" w:rsidRPr="0008763B" w:rsidRDefault="00DC6CC3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</w:p>
      </w:tc>
    </w:tr>
    <w:tr w:rsidR="00B003C8" w:rsidRPr="0008763B" w:rsidTr="00B003C8">
      <w:trPr>
        <w:cantSplit/>
        <w:trHeight w:val="340"/>
      </w:trPr>
      <w:tc>
        <w:tcPr>
          <w:tcW w:w="1702" w:type="dxa"/>
          <w:vMerge/>
        </w:tcPr>
        <w:p w:rsidR="00B003C8" w:rsidRPr="0008763B" w:rsidRDefault="00DC6CC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 w:val="restart"/>
          <w:vAlign w:val="center"/>
        </w:tcPr>
        <w:p w:rsidR="005A5127" w:rsidRDefault="00866881" w:rsidP="005A512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51. </w:t>
          </w:r>
          <w:r w:rsidR="00AE2BAC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>Procedimient</w:t>
          </w:r>
          <w:r w:rsidR="009D1B4C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o para </w:t>
          </w:r>
          <w:r w:rsidR="009D1B4C" w:rsidRPr="009D1B4C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la negociación </w:t>
          </w:r>
          <w:r w:rsidR="005A5127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y solución </w:t>
          </w:r>
          <w:r w:rsidR="009D1B4C" w:rsidRPr="009D1B4C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de conflictos y asuntos </w:t>
          </w:r>
        </w:p>
        <w:p w:rsidR="00B003C8" w:rsidRPr="0008763B" w:rsidRDefault="009D1B4C" w:rsidP="005A512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  <w:r w:rsidRPr="009D1B4C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de carácter sindical</w:t>
          </w:r>
          <w:r w:rsidR="005A5127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,</w:t>
          </w:r>
          <w:r w:rsidRPr="009D1B4C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 en el ámbito local y nacional.</w:t>
          </w:r>
        </w:p>
      </w:tc>
      <w:tc>
        <w:tcPr>
          <w:tcW w:w="2126" w:type="dxa"/>
          <w:vAlign w:val="center"/>
        </w:tcPr>
        <w:p w:rsidR="00B003C8" w:rsidRPr="0008763B" w:rsidRDefault="00AE2BAC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Rev. </w:t>
          </w: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>No aplica.</w:t>
          </w:r>
        </w:p>
      </w:tc>
    </w:tr>
    <w:tr w:rsidR="00B003C8" w:rsidRPr="0008763B" w:rsidTr="009D1B4C">
      <w:trPr>
        <w:cantSplit/>
        <w:trHeight w:val="464"/>
      </w:trPr>
      <w:tc>
        <w:tcPr>
          <w:tcW w:w="1702" w:type="dxa"/>
          <w:vMerge/>
          <w:tcBorders>
            <w:bottom w:val="single" w:sz="4" w:space="0" w:color="auto"/>
          </w:tcBorders>
        </w:tcPr>
        <w:p w:rsidR="00B003C8" w:rsidRPr="0008763B" w:rsidRDefault="00DC6CC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/>
          <w:tcBorders>
            <w:bottom w:val="single" w:sz="4" w:space="0" w:color="auto"/>
          </w:tcBorders>
          <w:vAlign w:val="center"/>
        </w:tcPr>
        <w:p w:rsidR="00B003C8" w:rsidRPr="0008763B" w:rsidRDefault="00DC6CC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B003C8" w:rsidRPr="0008763B" w:rsidRDefault="00AE2BAC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Hoja: 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begin"/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separate"/>
          </w:r>
          <w:r w:rsidR="00740C2C">
            <w:rPr>
              <w:rFonts w:ascii="Arial" w:eastAsia="Times New Roman" w:hAnsi="Arial" w:cs="Times New Roman"/>
              <w:b/>
              <w:noProof/>
              <w:color w:val="000000"/>
              <w:sz w:val="16"/>
              <w:szCs w:val="20"/>
              <w:lang w:eastAsia="es-ES"/>
            </w:rPr>
            <w:t>5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end"/>
          </w:r>
          <w:r w:rsidR="005474C9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 de 5</w:t>
          </w:r>
        </w:p>
      </w:tc>
    </w:tr>
  </w:tbl>
  <w:p w:rsidR="0008763B" w:rsidRPr="003A6E70" w:rsidRDefault="00DC6CC3" w:rsidP="003A6E7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2280E"/>
    <w:multiLevelType w:val="hybridMultilevel"/>
    <w:tmpl w:val="686EB4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3C12CC"/>
    <w:multiLevelType w:val="hybridMultilevel"/>
    <w:tmpl w:val="97BA4A10"/>
    <w:lvl w:ilvl="0" w:tplc="0C0A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63"/>
    <w:rsid w:val="00081CA3"/>
    <w:rsid w:val="00086DDC"/>
    <w:rsid w:val="000E638B"/>
    <w:rsid w:val="00155677"/>
    <w:rsid w:val="001B5899"/>
    <w:rsid w:val="001F5D63"/>
    <w:rsid w:val="00207894"/>
    <w:rsid w:val="002501F9"/>
    <w:rsid w:val="00273885"/>
    <w:rsid w:val="002D2B5E"/>
    <w:rsid w:val="0030688A"/>
    <w:rsid w:val="0036026E"/>
    <w:rsid w:val="00362D42"/>
    <w:rsid w:val="00363612"/>
    <w:rsid w:val="0051443C"/>
    <w:rsid w:val="005474C9"/>
    <w:rsid w:val="005A5127"/>
    <w:rsid w:val="005C378F"/>
    <w:rsid w:val="00625318"/>
    <w:rsid w:val="006356DA"/>
    <w:rsid w:val="0064309C"/>
    <w:rsid w:val="00664C19"/>
    <w:rsid w:val="00740C2C"/>
    <w:rsid w:val="00762EB8"/>
    <w:rsid w:val="00866881"/>
    <w:rsid w:val="008C7C19"/>
    <w:rsid w:val="008E36FB"/>
    <w:rsid w:val="008F145A"/>
    <w:rsid w:val="00987EDD"/>
    <w:rsid w:val="009D1B4C"/>
    <w:rsid w:val="00AE2BAC"/>
    <w:rsid w:val="00B41CD9"/>
    <w:rsid w:val="00C04E90"/>
    <w:rsid w:val="00CE68D4"/>
    <w:rsid w:val="00CF3070"/>
    <w:rsid w:val="00D124E7"/>
    <w:rsid w:val="00D5318C"/>
    <w:rsid w:val="00D61F8F"/>
    <w:rsid w:val="00DC6CC3"/>
    <w:rsid w:val="00DF25C6"/>
    <w:rsid w:val="00E15DC1"/>
    <w:rsid w:val="00E94539"/>
    <w:rsid w:val="00E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D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5D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5D63"/>
  </w:style>
  <w:style w:type="paragraph" w:styleId="Piedepgina">
    <w:name w:val="footer"/>
    <w:basedOn w:val="Normal"/>
    <w:link w:val="PiedepginaCar"/>
    <w:uiPriority w:val="99"/>
    <w:unhideWhenUsed/>
    <w:rsid w:val="001F5D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5D63"/>
  </w:style>
  <w:style w:type="paragraph" w:styleId="Textodeglobo">
    <w:name w:val="Balloon Text"/>
    <w:basedOn w:val="Normal"/>
    <w:link w:val="TextodegloboCar"/>
    <w:uiPriority w:val="99"/>
    <w:semiHidden/>
    <w:unhideWhenUsed/>
    <w:rsid w:val="001F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D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5D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5D63"/>
  </w:style>
  <w:style w:type="paragraph" w:styleId="Piedepgina">
    <w:name w:val="footer"/>
    <w:basedOn w:val="Normal"/>
    <w:link w:val="PiedepginaCar"/>
    <w:uiPriority w:val="99"/>
    <w:unhideWhenUsed/>
    <w:rsid w:val="001F5D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5D63"/>
  </w:style>
  <w:style w:type="paragraph" w:styleId="Textodeglobo">
    <w:name w:val="Balloon Text"/>
    <w:basedOn w:val="Normal"/>
    <w:link w:val="TextodegloboCar"/>
    <w:uiPriority w:val="99"/>
    <w:semiHidden/>
    <w:unhideWhenUsed/>
    <w:rsid w:val="001F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PEDROAESCOBEDO</dc:creator>
  <cp:lastModifiedBy>BenjaminGG</cp:lastModifiedBy>
  <cp:revision>2</cp:revision>
  <dcterms:created xsi:type="dcterms:W3CDTF">2012-08-30T23:53:00Z</dcterms:created>
  <dcterms:modified xsi:type="dcterms:W3CDTF">2012-08-30T23:53:00Z</dcterms:modified>
</cp:coreProperties>
</file>